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>
        <w:tblPrEx>
          <w:tblCellMar>
            <w:top w:w="0" w:type="dxa"/>
            <w:bottom w:w="0" w:type="dxa"/>
          </w:tblCellMar>
        </w:tblPrEx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bookmarkStart w:id="0" w:name="_GoBack"/>
            <w:bookmarkEnd w:id="0"/>
            <w: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:rsidR="002129A1" w:rsidRDefault="00A0658D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Praxishilfe</w:t>
            </w:r>
            <w:r w:rsidR="002129A1">
              <w:br/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 xml:space="preserve">Gültig ab: </w:t>
            </w:r>
          </w:p>
        </w:tc>
      </w:tr>
      <w:tr w:rsidR="002129A1">
        <w:tblPrEx>
          <w:tblCellMar>
            <w:top w:w="0" w:type="dxa"/>
            <w:bottom w:w="0" w:type="dxa"/>
          </w:tblCellMar>
        </w:tblPrEx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:rsidR="002129A1" w:rsidRDefault="00A0658D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rPr>
                <w:b w:val="0"/>
                <w:bCs/>
                <w:sz w:val="20"/>
              </w:rPr>
            </w:pPr>
            <w:r>
              <w:rPr>
                <w:b w:val="0"/>
                <w:bCs/>
                <w:sz w:val="20"/>
              </w:rPr>
              <w:t xml:space="preserve">SKOS B / </w:t>
            </w:r>
          </w:p>
          <w:p w:rsidR="00A0658D" w:rsidRDefault="00A0658D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</w:pPr>
            <w:r>
              <w:rPr>
                <w:b w:val="0"/>
                <w:bCs/>
                <w:sz w:val="20"/>
              </w:rPr>
              <w:t>Vermitteln finanzieller Leistungen</w:t>
            </w:r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:rsidR="002129A1" w:rsidRDefault="00A0658D">
            <w:pPr>
              <w:pStyle w:val="WeisungKopfteil"/>
              <w:framePr w:hSpace="0" w:wrap="auto" w:vAnchor="margin" w:hAnchor="text" w:xAlign="left" w:yAlign="inline"/>
              <w:spacing w:before="0" w:after="0" w:line="360" w:lineRule="auto"/>
              <w:ind w:right="45"/>
              <w:jc w:val="right"/>
            </w:pPr>
            <w:r>
              <w:rPr>
                <w:b w:val="0"/>
                <w:bCs/>
                <w:sz w:val="20"/>
              </w:rPr>
              <w:t>01.01.2011</w:t>
            </w:r>
          </w:p>
        </w:tc>
      </w:tr>
      <w:tr w:rsidR="002129A1">
        <w:tblPrEx>
          <w:tblCellMar>
            <w:top w:w="0" w:type="dxa"/>
            <w:bottom w:w="0" w:type="dxa"/>
          </w:tblCellMar>
        </w:tblPrEx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:rsidR="002129A1" w:rsidRDefault="00F20184">
            <w:pPr>
              <w:pStyle w:val="WeisungKopfteil"/>
              <w:framePr w:hSpace="0" w:wrap="auto" w:vAnchor="margin" w:hAnchor="text" w:xAlign="left" w:yAlign="inline"/>
            </w:pPr>
            <w:r>
              <w:t>Neues Pflegegesetz</w:t>
            </w:r>
          </w:p>
        </w:tc>
      </w:tr>
    </w:tbl>
    <w:p w:rsidR="00D1707A" w:rsidRPr="00D1707A" w:rsidRDefault="00D1707A" w:rsidP="00D1707A">
      <w:pPr>
        <w:pStyle w:val="Absatz0"/>
      </w:pPr>
    </w:p>
    <w:p w:rsidR="00484535" w:rsidRDefault="00F20184" w:rsidP="00484535">
      <w:pPr>
        <w:pStyle w:val="berschrift1"/>
      </w:pPr>
      <w:r>
        <w:t>Das neue Pflegegesetz</w:t>
      </w:r>
    </w:p>
    <w:p w:rsidR="003C698A" w:rsidRDefault="003C698A" w:rsidP="003C698A">
      <w:pPr>
        <w:rPr>
          <w:szCs w:val="22"/>
        </w:rPr>
      </w:pPr>
      <w:r>
        <w:rPr>
          <w:szCs w:val="22"/>
        </w:rPr>
        <w:t>Der Kantonsrat hat entschieden, dass das neue Pflegegesetz am 1. Januar 2011 in Kraft tritt.</w:t>
      </w:r>
    </w:p>
    <w:p w:rsidR="003C698A" w:rsidRDefault="003C698A" w:rsidP="003C698A">
      <w:pPr>
        <w:rPr>
          <w:szCs w:val="22"/>
        </w:rPr>
      </w:pPr>
    </w:p>
    <w:p w:rsidR="003C698A" w:rsidRDefault="003C698A" w:rsidP="003C698A">
      <w:pPr>
        <w:rPr>
          <w:szCs w:val="22"/>
        </w:rPr>
      </w:pPr>
      <w:r>
        <w:rPr>
          <w:szCs w:val="22"/>
        </w:rPr>
        <w:t>Neu wird zwischen folgenden Leistu</w:t>
      </w:r>
      <w:r w:rsidR="00F04322">
        <w:rPr>
          <w:szCs w:val="22"/>
        </w:rPr>
        <w:t>ngen unterschieden, welche bisher</w:t>
      </w:r>
      <w:r>
        <w:rPr>
          <w:szCs w:val="22"/>
        </w:rPr>
        <w:t xml:space="preserve"> oft vermisc</w:t>
      </w:r>
      <w:r w:rsidR="00F04322">
        <w:rPr>
          <w:szCs w:val="22"/>
        </w:rPr>
        <w:t>ht und quersubventioniert wurden</w:t>
      </w:r>
      <w:r>
        <w:rPr>
          <w:szCs w:val="22"/>
        </w:rPr>
        <w:t>:</w:t>
      </w:r>
    </w:p>
    <w:p w:rsidR="003C698A" w:rsidRDefault="003C698A" w:rsidP="003C698A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Pflege</w:t>
      </w:r>
    </w:p>
    <w:p w:rsidR="003C698A" w:rsidRDefault="003C698A" w:rsidP="003C698A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Betreuung</w:t>
      </w:r>
    </w:p>
    <w:p w:rsidR="003C698A" w:rsidRDefault="003C698A" w:rsidP="003C698A">
      <w:pPr>
        <w:numPr>
          <w:ilvl w:val="0"/>
          <w:numId w:val="10"/>
        </w:numPr>
        <w:rPr>
          <w:szCs w:val="22"/>
        </w:rPr>
      </w:pPr>
      <w:r>
        <w:rPr>
          <w:szCs w:val="22"/>
        </w:rPr>
        <w:t>Hauswirtschaft/Hotellerie</w:t>
      </w:r>
    </w:p>
    <w:p w:rsidR="003C698A" w:rsidRDefault="003C698A" w:rsidP="003C698A">
      <w:pPr>
        <w:rPr>
          <w:szCs w:val="22"/>
        </w:rPr>
      </w:pPr>
    </w:p>
    <w:p w:rsidR="003C698A" w:rsidRDefault="003C698A" w:rsidP="003C698A">
      <w:pPr>
        <w:rPr>
          <w:szCs w:val="22"/>
        </w:rPr>
      </w:pPr>
      <w:r>
        <w:rPr>
          <w:szCs w:val="22"/>
        </w:rPr>
        <w:t>Das neue Pflegegesetz hat finanzielle Auswirkungen auf Patientinnen und Patienten:</w:t>
      </w:r>
    </w:p>
    <w:p w:rsidR="003C698A" w:rsidRDefault="003C698A" w:rsidP="003C698A">
      <w:pPr>
        <w:numPr>
          <w:ilvl w:val="0"/>
          <w:numId w:val="11"/>
        </w:numPr>
        <w:rPr>
          <w:szCs w:val="22"/>
        </w:rPr>
      </w:pPr>
      <w:r>
        <w:rPr>
          <w:szCs w:val="22"/>
        </w:rPr>
        <w:t>Ihnen werden Mehrkosten entstehen, da sie die Leistungen ‚Betreuung’ und ‚Hau</w:t>
      </w:r>
      <w:r>
        <w:rPr>
          <w:szCs w:val="22"/>
        </w:rPr>
        <w:t>s</w:t>
      </w:r>
      <w:r>
        <w:rPr>
          <w:szCs w:val="22"/>
        </w:rPr>
        <w:t>wirtschaft/Hotellerie’ finanzieren müssen.</w:t>
      </w:r>
    </w:p>
    <w:p w:rsidR="00484535" w:rsidRPr="00A0158F" w:rsidRDefault="003C698A" w:rsidP="00A0158F">
      <w:pPr>
        <w:numPr>
          <w:ilvl w:val="0"/>
          <w:numId w:val="11"/>
        </w:numPr>
        <w:rPr>
          <w:szCs w:val="22"/>
        </w:rPr>
      </w:pPr>
      <w:r>
        <w:t>Die Selbstbeteiligung an Pflegeleistungen liegt im stationären Bereich bei maximal Fr. 21.60 pro Pflegetag, im ambulanten Bereich bei maximal Fr. 8.00 pro Tag.</w:t>
      </w:r>
    </w:p>
    <w:p w:rsidR="003C698A" w:rsidRPr="003C698A" w:rsidRDefault="00F20184" w:rsidP="00A0158F">
      <w:pPr>
        <w:pStyle w:val="berschrift1"/>
      </w:pPr>
      <w:r>
        <w:t>Auswirkungen auf die Fallarbeit</w:t>
      </w:r>
    </w:p>
    <w:p w:rsidR="00F04322" w:rsidRPr="00D1707A" w:rsidRDefault="00F04322" w:rsidP="00F04322">
      <w:pPr>
        <w:pStyle w:val="Absatz0"/>
        <w:numPr>
          <w:ilvl w:val="0"/>
          <w:numId w:val="12"/>
        </w:numPr>
      </w:pPr>
      <w:r>
        <w:t xml:space="preserve">Eventuell werden Personen </w:t>
      </w:r>
      <w:r w:rsidRPr="00A0158F">
        <w:rPr>
          <w:b/>
        </w:rPr>
        <w:t>Wirtschaftliche Sozialhilfe beantragen</w:t>
      </w:r>
      <w:r>
        <w:t>, da ihre Eige</w:t>
      </w:r>
      <w:r>
        <w:t>n</w:t>
      </w:r>
      <w:r>
        <w:t>beteiligung an Pflege-, Betreuungs- und/oder Hauswirtschafts-/ Hotellerieleistungen angestiegen ist.</w:t>
      </w:r>
    </w:p>
    <w:p w:rsidR="00F04322" w:rsidRDefault="00F04322" w:rsidP="00F04322">
      <w:pPr>
        <w:pStyle w:val="Absatz0"/>
        <w:ind w:left="360"/>
      </w:pPr>
    </w:p>
    <w:p w:rsidR="003C698A" w:rsidRDefault="00D52523" w:rsidP="00A0158F">
      <w:pPr>
        <w:pStyle w:val="Absatz0"/>
        <w:numPr>
          <w:ilvl w:val="0"/>
          <w:numId w:val="12"/>
        </w:numPr>
      </w:pPr>
      <w:r>
        <w:t>K</w:t>
      </w:r>
      <w:r w:rsidR="00F04322">
        <w:t>lientInnen</w:t>
      </w:r>
      <w:r w:rsidR="003C698A">
        <w:t>, welche eine Altersrente oder Ergänzungsleistungen beziehen</w:t>
      </w:r>
      <w:r w:rsidR="009B1C95">
        <w:t xml:space="preserve"> und Z</w:t>
      </w:r>
      <w:r w:rsidR="009B1C95">
        <w:t>u</w:t>
      </w:r>
      <w:r w:rsidR="009B1C95">
        <w:t>hause leben</w:t>
      </w:r>
      <w:r w:rsidR="003C698A">
        <w:t>,</w:t>
      </w:r>
      <w:r w:rsidR="00A0158F">
        <w:t xml:space="preserve"> können</w:t>
      </w:r>
      <w:r w:rsidR="003C698A">
        <w:t xml:space="preserve"> </w:t>
      </w:r>
      <w:r w:rsidR="00A0158F">
        <w:t>per 1. Januar 2011</w:t>
      </w:r>
      <w:r w:rsidR="003C698A">
        <w:t xml:space="preserve"> </w:t>
      </w:r>
      <w:r w:rsidR="00A0158F">
        <w:t xml:space="preserve">eventuell </w:t>
      </w:r>
      <w:r w:rsidR="003C698A">
        <w:t xml:space="preserve">eine </w:t>
      </w:r>
      <w:r w:rsidR="003C698A" w:rsidRPr="00A0158F">
        <w:rPr>
          <w:b/>
        </w:rPr>
        <w:t>Hilflosenentschädigung der AHV</w:t>
      </w:r>
      <w:r w:rsidR="003C698A">
        <w:t xml:space="preserve"> </w:t>
      </w:r>
      <w:r w:rsidR="003C698A" w:rsidRPr="009B1C95">
        <w:rPr>
          <w:b/>
        </w:rPr>
        <w:t>bei Hilflosigkeit</w:t>
      </w:r>
      <w:r w:rsidR="00A0158F" w:rsidRPr="009B1C95">
        <w:rPr>
          <w:b/>
        </w:rPr>
        <w:t xml:space="preserve"> leichten Grades geltend machen</w:t>
      </w:r>
      <w:r w:rsidR="00A0158F">
        <w:t>.</w:t>
      </w:r>
    </w:p>
    <w:p w:rsidR="003C698A" w:rsidRDefault="003C698A" w:rsidP="003C698A">
      <w:pPr>
        <w:pStyle w:val="Absatz0"/>
        <w:rPr>
          <w:szCs w:val="22"/>
        </w:rPr>
      </w:pPr>
    </w:p>
    <w:p w:rsidR="003C698A" w:rsidRDefault="00F04322" w:rsidP="00A0158F">
      <w:pPr>
        <w:pStyle w:val="Absatz0"/>
        <w:numPr>
          <w:ilvl w:val="0"/>
          <w:numId w:val="12"/>
        </w:numPr>
      </w:pPr>
      <w:r>
        <w:t>Per</w:t>
      </w:r>
      <w:r w:rsidR="00A0158F">
        <w:t xml:space="preserve"> 1. Januar 2011</w:t>
      </w:r>
      <w:r w:rsidR="003C698A">
        <w:t xml:space="preserve"> </w:t>
      </w:r>
      <w:r>
        <w:t xml:space="preserve">können KlientInnen eventuell </w:t>
      </w:r>
      <w:r w:rsidR="00A0158F" w:rsidRPr="00A0158F">
        <w:rPr>
          <w:b/>
        </w:rPr>
        <w:t>beim</w:t>
      </w:r>
      <w:r>
        <w:rPr>
          <w:b/>
        </w:rPr>
        <w:t xml:space="preserve"> AZL </w:t>
      </w:r>
      <w:r w:rsidR="00A0158F" w:rsidRPr="00A0158F">
        <w:rPr>
          <w:b/>
        </w:rPr>
        <w:t xml:space="preserve">neu </w:t>
      </w:r>
      <w:r w:rsidR="003C698A" w:rsidRPr="00A0158F">
        <w:rPr>
          <w:b/>
        </w:rPr>
        <w:t>angemeldet</w:t>
      </w:r>
      <w:r w:rsidR="003C698A">
        <w:t xml:space="preserve"> </w:t>
      </w:r>
      <w:r w:rsidR="003C698A" w:rsidRPr="00A0158F">
        <w:rPr>
          <w:b/>
        </w:rPr>
        <w:t>we</w:t>
      </w:r>
      <w:r w:rsidR="003C698A" w:rsidRPr="00A0158F">
        <w:rPr>
          <w:b/>
        </w:rPr>
        <w:t>r</w:t>
      </w:r>
      <w:r w:rsidR="003C698A" w:rsidRPr="00A0158F">
        <w:rPr>
          <w:b/>
        </w:rPr>
        <w:t>den</w:t>
      </w:r>
      <w:r w:rsidR="00A0158F">
        <w:t>. Dies</w:t>
      </w:r>
      <w:r w:rsidR="003C698A">
        <w:t xml:space="preserve"> z.B. weil ihre Eigenbeteiligung an Pflege-, Betreuungs- und/oder Hauswir</w:t>
      </w:r>
      <w:r w:rsidR="003C698A">
        <w:t>t</w:t>
      </w:r>
      <w:r w:rsidR="003C698A">
        <w:t>schafts-/Hotellerieleistungen angestiegen ist oder weil der Vermögensfreibetrag e</w:t>
      </w:r>
      <w:r w:rsidR="003C698A">
        <w:t>r</w:t>
      </w:r>
      <w:r w:rsidR="003C698A">
        <w:t>höht wurde.</w:t>
      </w:r>
    </w:p>
    <w:p w:rsidR="00F04322" w:rsidRDefault="00F04322" w:rsidP="00F04322">
      <w:pPr>
        <w:pStyle w:val="Absatz0"/>
      </w:pPr>
    </w:p>
    <w:p w:rsidR="00A018D8" w:rsidRDefault="00F04322" w:rsidP="00A0158F">
      <w:pPr>
        <w:pStyle w:val="Absatz0"/>
        <w:numPr>
          <w:ilvl w:val="0"/>
          <w:numId w:val="12"/>
        </w:numPr>
      </w:pPr>
      <w:r w:rsidRPr="009B1C95">
        <w:t>Das AZL</w:t>
      </w:r>
      <w:r>
        <w:t xml:space="preserve"> rechnet mit </w:t>
      </w:r>
      <w:r w:rsidRPr="009B1C95">
        <w:t>einer Übergangszeit</w:t>
      </w:r>
      <w:r>
        <w:t xml:space="preserve"> von ungefähr zwei Monaten. In dieser Zeit wird den BezügerInnen von Zusatzleistungen vom AZL eher </w:t>
      </w:r>
      <w:r w:rsidR="00ED3052">
        <w:t>zuwenig</w:t>
      </w:r>
      <w:r>
        <w:t xml:space="preserve"> Geld ausb</w:t>
      </w:r>
      <w:r>
        <w:t>e</w:t>
      </w:r>
      <w:r>
        <w:t>zahlt</w:t>
      </w:r>
      <w:r w:rsidR="00ED3052">
        <w:t xml:space="preserve"> werden</w:t>
      </w:r>
      <w:r>
        <w:t xml:space="preserve">, dies bis die neue </w:t>
      </w:r>
      <w:r w:rsidR="00ED3052">
        <w:t xml:space="preserve">Heimrechnung eingereicht </w:t>
      </w:r>
      <w:r>
        <w:t xml:space="preserve">ist. </w:t>
      </w:r>
      <w:r w:rsidR="00A018D8">
        <w:t xml:space="preserve">Deshalb ist es wichtig, dass die </w:t>
      </w:r>
      <w:r w:rsidR="00A018D8" w:rsidRPr="009B1C95">
        <w:rPr>
          <w:b/>
        </w:rPr>
        <w:t xml:space="preserve">Heimrechnungen dem AZL </w:t>
      </w:r>
      <w:r w:rsidR="009060E6" w:rsidRPr="009B1C95">
        <w:rPr>
          <w:b/>
        </w:rPr>
        <w:t xml:space="preserve">anfangs 2011 </w:t>
      </w:r>
      <w:r w:rsidR="00A018D8" w:rsidRPr="009B1C95">
        <w:rPr>
          <w:b/>
        </w:rPr>
        <w:t>so rasch als möglich abgeg</w:t>
      </w:r>
      <w:r w:rsidR="00A018D8" w:rsidRPr="009B1C95">
        <w:rPr>
          <w:b/>
        </w:rPr>
        <w:t>e</w:t>
      </w:r>
      <w:r w:rsidR="00A018D8" w:rsidRPr="009B1C95">
        <w:rPr>
          <w:b/>
        </w:rPr>
        <w:t>ben werden</w:t>
      </w:r>
      <w:r w:rsidR="00A018D8">
        <w:t>.</w:t>
      </w:r>
    </w:p>
    <w:p w:rsidR="00F04322" w:rsidRDefault="00ED3052" w:rsidP="00A018D8">
      <w:pPr>
        <w:pStyle w:val="Absatz0"/>
        <w:ind w:left="708"/>
      </w:pPr>
      <w:r>
        <w:t>Das AZL wi</w:t>
      </w:r>
      <w:r w:rsidR="009B1C95">
        <w:t>rd alle BezügerInnen und Heime M</w:t>
      </w:r>
      <w:r>
        <w:t xml:space="preserve">itte Dezember 2010 </w:t>
      </w:r>
      <w:r w:rsidR="00A018D8">
        <w:t>über das gewählte Vorgehen während der Übergangszeit i</w:t>
      </w:r>
      <w:r>
        <w:t>nformieren.</w:t>
      </w:r>
    </w:p>
    <w:p w:rsidR="003C698A" w:rsidRDefault="003C698A" w:rsidP="003C698A">
      <w:pPr>
        <w:pStyle w:val="Absatz0"/>
        <w:rPr>
          <w:szCs w:val="22"/>
        </w:rPr>
      </w:pPr>
    </w:p>
    <w:p w:rsidR="009060E6" w:rsidRDefault="009060E6" w:rsidP="003C698A">
      <w:pPr>
        <w:pStyle w:val="Absatz0"/>
        <w:rPr>
          <w:szCs w:val="22"/>
        </w:rPr>
      </w:pPr>
    </w:p>
    <w:p w:rsidR="009060E6" w:rsidRDefault="009060E6" w:rsidP="003C698A">
      <w:pPr>
        <w:pStyle w:val="Absatz0"/>
        <w:rPr>
          <w:szCs w:val="22"/>
        </w:rPr>
      </w:pPr>
    </w:p>
    <w:p w:rsidR="009060E6" w:rsidRDefault="009060E6" w:rsidP="003C698A">
      <w:pPr>
        <w:pStyle w:val="Absatz0"/>
        <w:rPr>
          <w:szCs w:val="22"/>
        </w:rPr>
      </w:pPr>
    </w:p>
    <w:p w:rsidR="009060E6" w:rsidRDefault="009060E6" w:rsidP="003C698A">
      <w:pPr>
        <w:pStyle w:val="Absatz0"/>
        <w:rPr>
          <w:szCs w:val="22"/>
        </w:rPr>
      </w:pPr>
    </w:p>
    <w:p w:rsidR="009060E6" w:rsidRDefault="009060E6" w:rsidP="003C698A">
      <w:pPr>
        <w:pStyle w:val="Absatz0"/>
        <w:rPr>
          <w:szCs w:val="22"/>
        </w:rPr>
      </w:pPr>
    </w:p>
    <w:p w:rsidR="009060E6" w:rsidRDefault="009060E6" w:rsidP="003C698A">
      <w:pPr>
        <w:pStyle w:val="Absatz0"/>
        <w:rPr>
          <w:szCs w:val="22"/>
        </w:rPr>
      </w:pPr>
    </w:p>
    <w:p w:rsidR="003C698A" w:rsidRDefault="009B1C95" w:rsidP="00D1707A">
      <w:pPr>
        <w:pStyle w:val="berschrift2"/>
      </w:pPr>
      <w:r>
        <w:t>Ä</w:t>
      </w:r>
      <w:r w:rsidR="00F20184">
        <w:t xml:space="preserve">nderungen </w:t>
      </w:r>
      <w:r w:rsidR="00B33BD4">
        <w:t>in Gesetzen</w:t>
      </w:r>
    </w:p>
    <w:p w:rsidR="00A0158F" w:rsidRPr="00DF144D" w:rsidRDefault="00B33BD4" w:rsidP="00A0158F">
      <w:pPr>
        <w:pStyle w:val="Absatz0"/>
        <w:rPr>
          <w:szCs w:val="22"/>
        </w:rPr>
      </w:pPr>
      <w:r>
        <w:rPr>
          <w:szCs w:val="22"/>
        </w:rPr>
        <w:t>Folgende drei Bundesgesetze werden geändert.</w:t>
      </w:r>
    </w:p>
    <w:p w:rsidR="003C698A" w:rsidRPr="00A0158F" w:rsidRDefault="003C698A" w:rsidP="00A0158F">
      <w:pPr>
        <w:pStyle w:val="berschrift2"/>
      </w:pPr>
      <w:r w:rsidRPr="00A0158F">
        <w:t>Bundesgesetz über die Krankenversicherung (KVG) vom 18. März 1994</w:t>
      </w:r>
    </w:p>
    <w:p w:rsidR="003C698A" w:rsidRDefault="003C698A" w:rsidP="003C698A">
      <w:pPr>
        <w:pStyle w:val="Absatz0"/>
        <w:rPr>
          <w:szCs w:val="22"/>
        </w:rPr>
      </w:pPr>
      <w:r>
        <w:rPr>
          <w:szCs w:val="22"/>
        </w:rPr>
        <w:t>Es wird zwischen ‚Pflegeleistungen’ und ‚Leistungen der Akut- und Übergangspflege’ diff</w:t>
      </w:r>
      <w:r>
        <w:rPr>
          <w:szCs w:val="22"/>
        </w:rPr>
        <w:t>e</w:t>
      </w:r>
      <w:r>
        <w:rPr>
          <w:szCs w:val="22"/>
        </w:rPr>
        <w:t>renziert. Diese werden unterschiedlich finanziert (neuArt. 25a KVG).</w:t>
      </w:r>
    </w:p>
    <w:p w:rsidR="003C698A" w:rsidRDefault="003C698A" w:rsidP="003C698A">
      <w:pPr>
        <w:pStyle w:val="Absatz0"/>
        <w:rPr>
          <w:szCs w:val="22"/>
        </w:rPr>
      </w:pPr>
    </w:p>
    <w:p w:rsidR="003C698A" w:rsidRDefault="003C698A" w:rsidP="003C698A">
      <w:pPr>
        <w:pStyle w:val="Absatz0"/>
        <w:rPr>
          <w:szCs w:val="22"/>
        </w:rPr>
      </w:pPr>
      <w:r>
        <w:rPr>
          <w:szCs w:val="22"/>
        </w:rPr>
        <w:t>Pflegeleistungen:</w:t>
      </w:r>
    </w:p>
    <w:p w:rsidR="003C698A" w:rsidRPr="00864115" w:rsidRDefault="003C698A" w:rsidP="003C698A">
      <w:pPr>
        <w:pStyle w:val="Absatz0"/>
        <w:rPr>
          <w:szCs w:val="22"/>
        </w:rPr>
      </w:pPr>
      <w:r>
        <w:rPr>
          <w:szCs w:val="22"/>
        </w:rPr>
        <w:t xml:space="preserve">Leistungen, welche in der Regel längerfristig erbracht werden, ohne dass sie aber mit </w:t>
      </w:r>
      <w:r w:rsidRPr="00864115">
        <w:rPr>
          <w:szCs w:val="22"/>
        </w:rPr>
        <w:t>einer vorgängigen Spitalbehandlung zusammenhängen müssen.</w:t>
      </w:r>
    </w:p>
    <w:p w:rsidR="003C698A" w:rsidRPr="00864115" w:rsidRDefault="003C698A" w:rsidP="003C698A">
      <w:pPr>
        <w:pStyle w:val="Absatz0"/>
        <w:rPr>
          <w:szCs w:val="22"/>
        </w:rPr>
      </w:pPr>
      <w:r>
        <w:rPr>
          <w:szCs w:val="22"/>
        </w:rPr>
        <w:t xml:space="preserve">Die </w:t>
      </w:r>
      <w:r w:rsidRPr="00864115">
        <w:rPr>
          <w:szCs w:val="22"/>
        </w:rPr>
        <w:t xml:space="preserve">Kosten werden durch Normbeiträge der Krankenpflegeversicherungen, </w:t>
      </w:r>
      <w:r w:rsidR="008C4CBE">
        <w:rPr>
          <w:szCs w:val="22"/>
        </w:rPr>
        <w:t>der öffentlichen Hand</w:t>
      </w:r>
      <w:r w:rsidRPr="00864115">
        <w:rPr>
          <w:szCs w:val="22"/>
        </w:rPr>
        <w:t xml:space="preserve"> und der LeistungsbezügerInnen gedeckt.</w:t>
      </w:r>
    </w:p>
    <w:p w:rsidR="003C698A" w:rsidRDefault="003C698A" w:rsidP="003C698A">
      <w:pPr>
        <w:pStyle w:val="Absatz0"/>
        <w:rPr>
          <w:szCs w:val="22"/>
        </w:rPr>
      </w:pPr>
    </w:p>
    <w:p w:rsidR="003C698A" w:rsidRDefault="003C698A" w:rsidP="003C698A">
      <w:pPr>
        <w:pStyle w:val="Absatz0"/>
        <w:rPr>
          <w:szCs w:val="22"/>
        </w:rPr>
      </w:pPr>
      <w:r>
        <w:rPr>
          <w:szCs w:val="22"/>
        </w:rPr>
        <w:t>Leistungen der Akut- und Übergangspflege:</w:t>
      </w:r>
    </w:p>
    <w:p w:rsidR="003C698A" w:rsidRDefault="003C698A" w:rsidP="003C698A">
      <w:pPr>
        <w:pStyle w:val="Absatz0"/>
        <w:rPr>
          <w:szCs w:val="22"/>
        </w:rPr>
      </w:pPr>
      <w:r>
        <w:rPr>
          <w:szCs w:val="22"/>
        </w:rPr>
        <w:t>Die Leistungen schliessen stets direkt an eine Spitalbehandlung an und sind auf 14 Tage befristet. Der Kanton und die Versicherer tragen die Kosten, LeistungsbezügerInnen beteil</w:t>
      </w:r>
      <w:r>
        <w:rPr>
          <w:szCs w:val="22"/>
        </w:rPr>
        <w:t>i</w:t>
      </w:r>
      <w:r>
        <w:rPr>
          <w:szCs w:val="22"/>
        </w:rPr>
        <w:t>gen sich durch Franchise und Selbstbehalt an den Kosten.</w:t>
      </w:r>
    </w:p>
    <w:p w:rsidR="003C698A" w:rsidRPr="00D1707A" w:rsidRDefault="003C698A" w:rsidP="00D1707A">
      <w:pPr>
        <w:pStyle w:val="berschrift2"/>
      </w:pPr>
      <w:r w:rsidRPr="00A0158F">
        <w:t>Bundesgesetz über die Alters- und Hinterlassenenversicherung (AHVG) vom 20. Dezember 1946</w:t>
      </w:r>
    </w:p>
    <w:p w:rsidR="003C698A" w:rsidRDefault="003C698A" w:rsidP="003C698A">
      <w:pPr>
        <w:pStyle w:val="Absatz0"/>
        <w:rPr>
          <w:szCs w:val="22"/>
        </w:rPr>
      </w:pPr>
      <w:r>
        <w:rPr>
          <w:szCs w:val="22"/>
        </w:rPr>
        <w:t>Für Personen, welche zu Hause leben, wird eine Hilflosenentschädigung für Hilflosigkeit leichten Grades eingeführt (Art. 43bis revAHVG):</w:t>
      </w:r>
    </w:p>
    <w:p w:rsidR="009B1C95" w:rsidRDefault="009B1C95" w:rsidP="003C698A">
      <w:pPr>
        <w:pStyle w:val="Absatz0"/>
        <w:rPr>
          <w:szCs w:val="22"/>
        </w:rPr>
      </w:pPr>
    </w:p>
    <w:p w:rsidR="003C698A" w:rsidRDefault="003C698A" w:rsidP="003C698A">
      <w:pPr>
        <w:pStyle w:val="Absatz0"/>
        <w:rPr>
          <w:szCs w:val="22"/>
        </w:rPr>
      </w:pPr>
      <w:r>
        <w:rPr>
          <w:szCs w:val="22"/>
        </w:rPr>
        <w:t>Fr. 232.00 (monatlich)</w:t>
      </w:r>
      <w:r w:rsidR="009B1C95">
        <w:rPr>
          <w:szCs w:val="22"/>
        </w:rPr>
        <w:t>, Stand Januar 2011</w:t>
      </w:r>
    </w:p>
    <w:p w:rsidR="003C698A" w:rsidRPr="00D1707A" w:rsidRDefault="003C698A" w:rsidP="00D1707A">
      <w:pPr>
        <w:pStyle w:val="berschrift2"/>
      </w:pPr>
      <w:r w:rsidRPr="00A0158F">
        <w:t>Bundesgesetz über Ergänzungsleistungen zur Alters-, Hinterlassenen- und I</w:t>
      </w:r>
      <w:r w:rsidRPr="00A0158F">
        <w:t>n</w:t>
      </w:r>
      <w:r w:rsidRPr="00A0158F">
        <w:t>validenversicherung (ELG) vom 6. Oktober 2006</w:t>
      </w:r>
    </w:p>
    <w:p w:rsidR="003C698A" w:rsidRDefault="003C698A" w:rsidP="003C698A">
      <w:pPr>
        <w:pStyle w:val="Absatz0"/>
        <w:rPr>
          <w:szCs w:val="22"/>
        </w:rPr>
      </w:pPr>
      <w:r>
        <w:rPr>
          <w:szCs w:val="22"/>
        </w:rPr>
        <w:t>Die Vermögensfreibeträge für den Anspruch aus Ergänzungsleistungen werden erhöht (Art. 11 revELG):</w:t>
      </w:r>
    </w:p>
    <w:p w:rsidR="009B1C95" w:rsidRDefault="009B1C95" w:rsidP="003C698A">
      <w:pPr>
        <w:pStyle w:val="Absatz0"/>
        <w:rPr>
          <w:szCs w:val="22"/>
        </w:rPr>
      </w:pPr>
    </w:p>
    <w:p w:rsidR="003C698A" w:rsidRDefault="003C698A" w:rsidP="003C698A">
      <w:pPr>
        <w:pStyle w:val="Absatz0"/>
        <w:rPr>
          <w:szCs w:val="22"/>
        </w:rPr>
      </w:pPr>
      <w:r>
        <w:rPr>
          <w:szCs w:val="22"/>
        </w:rPr>
        <w:t>Alleinstehende Personen:</w:t>
      </w:r>
      <w:r>
        <w:rPr>
          <w:szCs w:val="22"/>
        </w:rPr>
        <w:tab/>
        <w:t>Fr. 37’500.00 (bisher Fr. 25'000.00)</w:t>
      </w:r>
    </w:p>
    <w:p w:rsidR="003C698A" w:rsidRDefault="003C698A" w:rsidP="003C698A">
      <w:pPr>
        <w:pStyle w:val="Absatz0"/>
        <w:rPr>
          <w:szCs w:val="22"/>
        </w:rPr>
      </w:pPr>
      <w:r>
        <w:rPr>
          <w:szCs w:val="22"/>
        </w:rPr>
        <w:t>Ehepaare:</w:t>
      </w:r>
      <w:r>
        <w:rPr>
          <w:szCs w:val="22"/>
        </w:rPr>
        <w:tab/>
      </w:r>
      <w:r>
        <w:rPr>
          <w:szCs w:val="22"/>
        </w:rPr>
        <w:tab/>
      </w:r>
      <w:r w:rsidR="00022E9F">
        <w:rPr>
          <w:szCs w:val="22"/>
        </w:rPr>
        <w:tab/>
      </w:r>
      <w:r>
        <w:rPr>
          <w:szCs w:val="22"/>
        </w:rPr>
        <w:t>Fr. 60'000.00 (bisher Fr.   4’000.00)</w:t>
      </w:r>
    </w:p>
    <w:p w:rsidR="003C698A" w:rsidRDefault="003C698A" w:rsidP="003C698A">
      <w:pPr>
        <w:pStyle w:val="Absatz0"/>
        <w:rPr>
          <w:szCs w:val="22"/>
        </w:rPr>
      </w:pPr>
    </w:p>
    <w:p w:rsidR="003C698A" w:rsidRPr="009B1C95" w:rsidRDefault="003C698A" w:rsidP="003C698A">
      <w:pPr>
        <w:pStyle w:val="Absatz0"/>
        <w:rPr>
          <w:b/>
          <w:szCs w:val="22"/>
        </w:rPr>
      </w:pPr>
      <w:r w:rsidRPr="009B1C95">
        <w:rPr>
          <w:b/>
          <w:szCs w:val="22"/>
        </w:rPr>
        <w:t>SKOS:</w:t>
      </w:r>
    </w:p>
    <w:p w:rsidR="003C698A" w:rsidRDefault="003C698A" w:rsidP="003C698A">
      <w:pPr>
        <w:pStyle w:val="Absatz0"/>
        <w:rPr>
          <w:szCs w:val="22"/>
        </w:rPr>
      </w:pPr>
      <w:r>
        <w:rPr>
          <w:szCs w:val="22"/>
        </w:rPr>
        <w:t>In Kapitel E.3 ‚Sozialhilferechtliche Rückerstattungspflicht’ wird auf den Vermögensfreibetrag gemäss Ergänzungsleistungen verwiesen. Die Geschäf</w:t>
      </w:r>
      <w:r w:rsidR="009B1C95">
        <w:rPr>
          <w:szCs w:val="22"/>
        </w:rPr>
        <w:t>tsleitung der SKOS prüft</w:t>
      </w:r>
      <w:r>
        <w:rPr>
          <w:szCs w:val="22"/>
        </w:rPr>
        <w:t>, ob an di</w:t>
      </w:r>
      <w:r>
        <w:rPr>
          <w:szCs w:val="22"/>
        </w:rPr>
        <w:t>e</w:t>
      </w:r>
      <w:r>
        <w:rPr>
          <w:szCs w:val="22"/>
        </w:rPr>
        <w:t>ser Praxis festgehalten werden soll.</w:t>
      </w:r>
    </w:p>
    <w:sectPr w:rsidR="003C698A" w:rsidSect="003E5FC8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985" w:right="1134" w:bottom="567" w:left="1701" w:header="567" w:footer="22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14BF" w:rsidRDefault="00B214BF">
      <w:r>
        <w:separator/>
      </w:r>
    </w:p>
  </w:endnote>
  <w:endnote w:type="continuationSeparator" w:id="0">
    <w:p w:rsidR="00B214BF" w:rsidRDefault="00B21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8C1611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5063" w:type="dxa"/>
        </w:tcPr>
        <w:p w:rsidR="008C1611" w:rsidRDefault="008C1611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>
            <w:rPr>
              <w:noProof/>
              <w:sz w:val="17"/>
            </w:rPr>
            <w:t>PRA_Pflegegesetz ab 01.01.2011.doc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:rsidR="008C1611" w:rsidRDefault="008C161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</w:p>
      </w:tc>
      <w:tc>
        <w:tcPr>
          <w:tcW w:w="2640" w:type="dxa"/>
        </w:tcPr>
        <w:p w:rsidR="008C1611" w:rsidRDefault="008C161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</w:p>
      </w:tc>
    </w:tr>
  </w:tbl>
  <w:p w:rsidR="008C1611" w:rsidRDefault="008C161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8C1611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5063" w:type="dxa"/>
        </w:tcPr>
        <w:p w:rsidR="008C1611" w:rsidRDefault="008C1611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t>PRA_Neues Pflegegesetz_SoD.doc</w:t>
          </w:r>
        </w:p>
      </w:tc>
      <w:tc>
        <w:tcPr>
          <w:tcW w:w="1430" w:type="dxa"/>
        </w:tcPr>
        <w:p w:rsidR="008C1611" w:rsidRDefault="008C161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0.1</w:t>
          </w:r>
        </w:p>
      </w:tc>
      <w:tc>
        <w:tcPr>
          <w:tcW w:w="2640" w:type="dxa"/>
        </w:tcPr>
        <w:p w:rsidR="008C1611" w:rsidRDefault="008C1611" w:rsidP="002129A1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VerfasserIn KPZ FG: </w:t>
          </w:r>
        </w:p>
      </w:tc>
    </w:tr>
    <w:tr w:rsidR="00CD18C9" w:rsidTr="00B214BF">
      <w:tblPrEx>
        <w:tblCellMar>
          <w:top w:w="0" w:type="dxa"/>
          <w:bottom w:w="0" w:type="dxa"/>
        </w:tblCellMar>
      </w:tblPrEx>
      <w:trPr>
        <w:trHeight w:val="284"/>
      </w:trPr>
      <w:tc>
        <w:tcPr>
          <w:tcW w:w="9133" w:type="dxa"/>
          <w:gridSpan w:val="3"/>
        </w:tcPr>
        <w:p w:rsidR="00CD18C9" w:rsidRDefault="00CD18C9" w:rsidP="00CD18C9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Das Copyright liegt bei den Sozialen Diensten. Eine Weiterverwendung ist nur mit dem Zusatz «Soziale Dienste Stadt Zürich» erlaubt.</w:t>
          </w:r>
        </w:p>
      </w:tc>
    </w:tr>
  </w:tbl>
  <w:p w:rsidR="008C1611" w:rsidRDefault="008C1611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14BF" w:rsidRDefault="00B214BF">
      <w:r>
        <w:separator/>
      </w:r>
    </w:p>
  </w:footnote>
  <w:footnote w:type="continuationSeparator" w:id="0">
    <w:p w:rsidR="00B214BF" w:rsidRDefault="00B21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8C1611">
      <w:tblPrEx>
        <w:tblCellMar>
          <w:top w:w="0" w:type="dxa"/>
          <w:bottom w:w="0" w:type="dxa"/>
        </w:tblCellMar>
      </w:tblPrEx>
      <w:tc>
        <w:tcPr>
          <w:tcW w:w="7257" w:type="dxa"/>
          <w:gridSpan w:val="2"/>
        </w:tcPr>
        <w:p w:rsidR="008C1611" w:rsidRDefault="008C7745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>
                <wp:extent cx="1345565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8C1611" w:rsidRDefault="008C161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:rsidR="008C1611" w:rsidRDefault="008C161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8C1611">
      <w:tblPrEx>
        <w:tblCellMar>
          <w:top w:w="0" w:type="dxa"/>
          <w:bottom w:w="0" w:type="dxa"/>
        </w:tblCellMar>
      </w:tblPrEx>
      <w:trPr>
        <w:trHeight w:val="210"/>
      </w:trPr>
      <w:tc>
        <w:tcPr>
          <w:tcW w:w="680" w:type="dxa"/>
        </w:tcPr>
        <w:p w:rsidR="008C1611" w:rsidRDefault="008C1611">
          <w:pPr>
            <w:pStyle w:val="Kopfzeile"/>
          </w:pPr>
        </w:p>
      </w:tc>
      <w:tc>
        <w:tcPr>
          <w:tcW w:w="9072" w:type="dxa"/>
          <w:gridSpan w:val="2"/>
        </w:tcPr>
        <w:p w:rsidR="008C1611" w:rsidRDefault="008C1611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C7745">
            <w:rPr>
              <w:noProof/>
            </w:rPr>
            <w:t>2</w:t>
          </w:r>
          <w:r>
            <w:fldChar w:fldCharType="end"/>
          </w:r>
          <w:r>
            <w:t>/</w:t>
          </w:r>
          <w:fldSimple w:instr=" NUMPAGES   \* MERGEFORMAT ">
            <w:r w:rsidR="008C7745">
              <w:rPr>
                <w:noProof/>
              </w:rPr>
              <w:t>2</w:t>
            </w:r>
          </w:fldSimple>
        </w:p>
      </w:tc>
    </w:tr>
  </w:tbl>
  <w:p w:rsidR="008C1611" w:rsidRDefault="008C1611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8C1611">
      <w:tblPrEx>
        <w:tblCellMar>
          <w:top w:w="0" w:type="dxa"/>
          <w:bottom w:w="0" w:type="dxa"/>
        </w:tblCellMar>
      </w:tblPrEx>
      <w:tc>
        <w:tcPr>
          <w:tcW w:w="7257" w:type="dxa"/>
        </w:tcPr>
        <w:p w:rsidR="008C1611" w:rsidRDefault="008C7745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>
                <wp:extent cx="1345565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556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:rsidR="008C1611" w:rsidRDefault="008C1611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8C1611">
      <w:tblPrEx>
        <w:tblCellMar>
          <w:top w:w="0" w:type="dxa"/>
          <w:bottom w:w="0" w:type="dxa"/>
        </w:tblCellMar>
      </w:tblPrEx>
      <w:tc>
        <w:tcPr>
          <w:tcW w:w="7257" w:type="dxa"/>
        </w:tcPr>
        <w:p w:rsidR="008C1611" w:rsidRDefault="008C1611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:rsidR="008C1611" w:rsidRDefault="008C1611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:rsidR="008C1611" w:rsidRDefault="008C1611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5F7B"/>
    <w:multiLevelType w:val="hybridMultilevel"/>
    <w:tmpl w:val="59A456C8"/>
    <w:lvl w:ilvl="0" w:tplc="57000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044B5"/>
    <w:multiLevelType w:val="hybridMultilevel"/>
    <w:tmpl w:val="48F423AA"/>
    <w:lvl w:ilvl="0" w:tplc="57000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C6F2FA3"/>
    <w:multiLevelType w:val="hybridMultilevel"/>
    <w:tmpl w:val="8D76679C"/>
    <w:lvl w:ilvl="0" w:tplc="57000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F41681"/>
    <w:multiLevelType w:val="hybridMultilevel"/>
    <w:tmpl w:val="E0C6C544"/>
    <w:lvl w:ilvl="0" w:tplc="57000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894AEF"/>
    <w:multiLevelType w:val="hybridMultilevel"/>
    <w:tmpl w:val="84C4F07E"/>
    <w:lvl w:ilvl="0" w:tplc="57000F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9"/>
  </w:num>
  <w:num w:numId="5">
    <w:abstractNumId w:val="10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1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160998"/>
    <w:rsid w:val="00022E9F"/>
    <w:rsid w:val="00043683"/>
    <w:rsid w:val="00073A59"/>
    <w:rsid w:val="00160998"/>
    <w:rsid w:val="002129A1"/>
    <w:rsid w:val="00375FC2"/>
    <w:rsid w:val="003B5537"/>
    <w:rsid w:val="003C698A"/>
    <w:rsid w:val="003E5FC8"/>
    <w:rsid w:val="00484535"/>
    <w:rsid w:val="004F2C14"/>
    <w:rsid w:val="00711334"/>
    <w:rsid w:val="00792BB3"/>
    <w:rsid w:val="0083445F"/>
    <w:rsid w:val="00880DC8"/>
    <w:rsid w:val="008C1611"/>
    <w:rsid w:val="008C4CBE"/>
    <w:rsid w:val="008C7745"/>
    <w:rsid w:val="009060E6"/>
    <w:rsid w:val="009B1C95"/>
    <w:rsid w:val="00A0158F"/>
    <w:rsid w:val="00A018D8"/>
    <w:rsid w:val="00A0658D"/>
    <w:rsid w:val="00A46F23"/>
    <w:rsid w:val="00A91BDD"/>
    <w:rsid w:val="00B154BA"/>
    <w:rsid w:val="00B214BF"/>
    <w:rsid w:val="00B33BD4"/>
    <w:rsid w:val="00B92738"/>
    <w:rsid w:val="00CB7AC2"/>
    <w:rsid w:val="00CD18C9"/>
    <w:rsid w:val="00D1707A"/>
    <w:rsid w:val="00D52523"/>
    <w:rsid w:val="00DA024F"/>
    <w:rsid w:val="00DF144D"/>
    <w:rsid w:val="00E30AF7"/>
    <w:rsid w:val="00ED3052"/>
    <w:rsid w:val="00F04322"/>
    <w:rsid w:val="00F20184"/>
    <w:rsid w:val="00F475F2"/>
    <w:rsid w:val="00F6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575A114A"/>
  <w15:chartTrackingRefBased/>
  <w15:docId w15:val="{95127CBB-C326-432D-8DE4-26DE8EDF0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autoRedefine/>
    <w:qFormat/>
    <w:pPr>
      <w:numPr>
        <w:numId w:val="1"/>
      </w:numPr>
      <w:shd w:val="clear" w:color="auto" w:fill="99CCFF"/>
      <w:tabs>
        <w:tab w:val="left" w:pos="709"/>
      </w:tabs>
      <w:spacing w:before="240" w:after="24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SOD\SOD-Wordvorlagen\1_Dokumentenstandard_SoD_hoch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2.xml><?xml version="1.0" encoding="utf-8"?>
<LongProperties xmlns="http://schemas.microsoft.com/office/2006/metadata/longProperties">
  <LongProp xmlns="" name="WorkflowChangePath"><![CDATA[52675646-02d6-422a-bf6f-0a8dd6281eff,7;52675646-02d6-422a-bf6f-0a8dd6281eff,9;0d2b39e8-dd18-4502-a924-40335b5a9ad4,11;0d2b39e8-dd18-4502-a924-40335b5a9ad4,13;1dbebda2-0151-441b-bad0-3a4bc52a6e32,20;7dbe9e3d-1110-41fa-836b-195a3e49061c,6;7dbe9e3d-1110-41fa-836b-195a3e49061c,8;]]></LongProp>
</LongProperti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hematische_x0020_Zuordnung_x0020_Fachressort_x0028_s_x0029_ xmlns="f3b92940-74e1-4b32-811a-cd501d17ae23">
      <Value>5</Value>
    </Thematische_x0020_Zuordnung_x0020_Fachressort_x0028_s_x0029_>
    <Zu_x0020_konsultierende_x002f_-s_x0020_Fachressort_x002f_-s xmlns="f3b92940-74e1-4b32-811a-cd501d17ae23">
      <Value>1</Value>
      <Value>5</Value>
    </Zu_x0020_konsultierende_x002f_-s_x0020_Fachressort_x002f_-s>
    <Gesetzliche_x0020_Grundlage xmlns="f3b92940-74e1-4b32-811a-cd501d17ae23" xsi:nil="true"/>
    <Version_x0020_des_x0020_Dokuments xmlns="3905ffbc-9aeb-4d51-937e-ee1e2cf00671" xsi:nil="true"/>
    <Gültig_x0020_bis xmlns="3905ffbc-9aeb-4d51-937e-ee1e2cf00671" xsi:nil="true"/>
    <Herausgabe_x0020_bei_x0020_Informationszugangsgesuchen xmlns="f3b92940-74e1-4b32-811a-cd501d17ae23">kann herausgegeben werden</Herausgabe_x0020_bei_x0020_Informationszugangsgesuchen>
    <Kontaktperson_x0020_für_x0020_SOD_x0020_KOM xmlns="3905ffbc-9aeb-4d51-937e-ee1e2cf00671">
      <UserInfo>
        <DisplayName>i:0#.w|global\sozhhi</DisplayName>
        <AccountId>6</AccountId>
        <AccountType/>
      </UserInfo>
    </Kontaktperson_x0020_für_x0020_SOD_x0020_KOM>
    <SKOS-Kapitel xmlns="f3b92940-74e1-4b32-811a-cd501d17ae23"/>
    <Kurzbeschreibung_x0020_Dokument xmlns="3905ffbc-9aeb-4d51-937e-ee1e2cf00671">&lt;div&gt;&lt;/div&gt;</Kurzbeschreibung_x0020_Dokument>
    <Fachkonzept xmlns="f3b92940-74e1-4b32-811a-cd501d17ae23">1</Fachkonzept>
    <Leistung xmlns="f3b92940-74e1-4b32-811a-cd501d17ae23" xsi:nil="true"/>
    <Dokumentenstatus xmlns="f3b92940-74e1-4b32-811a-cd501d17ae23">3</Dokumentenstatus>
    <Verantwortliche_x002f_r_x0020_Autor_x002f_in xmlns="3905ffbc-9aeb-4d51-937e-ee1e2cf00671">
      <UserInfo>
        <DisplayName/>
        <AccountId xsi:nil="true"/>
        <AccountType/>
      </UserInfo>
    </Verantwortliche_x002f_r_x0020_Autor_x002f_in>
    <Gültig_x0020_von xmlns="3905ffbc-9aeb-4d51-937e-ee1e2cf00671">2010-12-31T23:00:00+00:00</Gültig_x0020_von>
    <Federführende_x002f_s_x0020_Fachressort_x002f_Einheit xmlns="f3b92940-74e1-4b32-811a-cd501d17ae23">5</Federführende_x002f_s_x0020_Fachressort_x002f_Einheit>
    <Dokumentenart1 xmlns="3905ffbc-9aeb-4d51-937e-ee1e2cf00671">SOD Praxishilfe (PRA)</Dokumentenart1>
  </documentManagement>
</p:properties>
</file>

<file path=customXml/itemProps1.xml><?xml version="1.0" encoding="utf-8"?>
<ds:datastoreItem xmlns:ds="http://schemas.openxmlformats.org/officeDocument/2006/customXml" ds:itemID="{56AEC278-E051-4FDB-A2FB-C72133211E64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9E03AAF-96ED-4F03-B460-43744AB578F7}">
  <ds:schemaRefs>
    <ds:schemaRef ds:uri="http://schemas.microsoft.com/office/2006/metadata/longProperties"/>
    <ds:schemaRef ds:uri=""/>
  </ds:schemaRefs>
</ds:datastoreItem>
</file>

<file path=customXml/itemProps3.xml><?xml version="1.0" encoding="utf-8"?>
<ds:datastoreItem xmlns:ds="http://schemas.openxmlformats.org/officeDocument/2006/customXml" ds:itemID="{DADAA7B8-8C2B-4FB7-A7FE-99733FC6EFD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D8D25EC5-8D4C-4F5E-9E0F-34EFD35CD55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97DF9FD6-2F09-44D0-96DD-028CBBB01D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EE74A04F-8C44-4452-99C6-652AA4622459}">
  <ds:schemaRefs>
    <ds:schemaRef ds:uri="http://purl.org/dc/elements/1.1/"/>
    <ds:schemaRef ds:uri="http://schemas.microsoft.com/office/2006/metadata/properties"/>
    <ds:schemaRef ds:uri="3905ffbc-9aeb-4d51-937e-ee1e2cf00671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f3b92940-74e1-4b32-811a-cd501d17ae2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1_Dokumentenstandard_SoD_hoch.dot</Template>
  <TotalTime>0</TotalTime>
  <Pages>2</Pages>
  <Words>490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Neues Pflegegesetz</vt:lpstr>
    </vt:vector>
  </TitlesOfParts>
  <Company>Soziale Dienste Stadt Zürich</Company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Neues Pflegegesetz</dc:title>
  <dc:subject>SKOS B Vermitteln finanzieller Leistungen</dc:subject>
  <dc:creator>KPZ FG sax</dc:creator>
  <cp:keywords>AHV Hilflosenentschädigung Einkommensfreibetrag</cp:keywords>
  <cp:lastModifiedBy>Nadine Grunder (sozgnn)</cp:lastModifiedBy>
  <cp:revision>2</cp:revision>
  <cp:lastPrinted>2010-11-12T13:00:00Z</cp:lastPrinted>
  <dcterms:created xsi:type="dcterms:W3CDTF">2021-06-21T06:38:00Z</dcterms:created>
  <dcterms:modified xsi:type="dcterms:W3CDTF">2021-06-21T06:38:00Z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4</vt:lpwstr>
  </property>
  <property fmtid="{D5CDD505-2E9C-101B-9397-08002B2CF9AE}" pid="3" name="ContentType">
    <vt:lpwstr>Praxishilfe</vt:lpwstr>
  </property>
  <property fmtid="{D5CDD505-2E9C-101B-9397-08002B2CF9AE}" pid="4" name="Bemerkungen">
    <vt:lpwstr/>
  </property>
  <property fmtid="{D5CDD505-2E9C-101B-9397-08002B2CF9AE}" pid="5" name="display_urn:schemas-microsoft-com:office:office#Editor">
    <vt:lpwstr>Hohermuth Ivo (SD)</vt:lpwstr>
  </property>
  <property fmtid="{D5CDD505-2E9C-101B-9397-08002B2CF9AE}" pid="6" name="TemplateUrl">
    <vt:lpwstr/>
  </property>
  <property fmtid="{D5CDD505-2E9C-101B-9397-08002B2CF9AE}" pid="7" name="Order">
    <vt:lpwstr>52600.0000000000</vt:lpwstr>
  </property>
  <property fmtid="{D5CDD505-2E9C-101B-9397-08002B2CF9AE}" pid="8" name="xd_ProgID">
    <vt:lpwstr/>
  </property>
  <property fmtid="{D5CDD505-2E9C-101B-9397-08002B2CF9AE}" pid="9" name="display_urn:schemas-microsoft-com:office:office#Author">
    <vt:lpwstr>Hohermuth Ivo (SD)</vt:lpwstr>
  </property>
  <property fmtid="{D5CDD505-2E9C-101B-9397-08002B2CF9AE}" pid="10" name="ContentTypeId">
    <vt:lpwstr>0x01010012DCBF5558F0D14AB1FD168DE6C7A40C0100309021253101A04D9D9A7096FBAB356B</vt:lpwstr>
  </property>
  <property fmtid="{D5CDD505-2E9C-101B-9397-08002B2CF9AE}" pid="11" name="SKOS Kapitel">
    <vt:lpwstr/>
  </property>
  <property fmtid="{D5CDD505-2E9C-101B-9397-08002B2CF9AE}" pid="12" name="Spezialdienste">
    <vt:lpwstr/>
  </property>
  <property fmtid="{D5CDD505-2E9C-101B-9397-08002B2CF9AE}" pid="13" name="Zielgruppe(n)">
    <vt:lpwstr/>
  </property>
  <property fmtid="{D5CDD505-2E9C-101B-9397-08002B2CF9AE}" pid="14" name="Inhaltliche Verknüpfungen">
    <vt:lpwstr/>
  </property>
  <property fmtid="{D5CDD505-2E9C-101B-9397-08002B2CF9AE}" pid="15" name="Thema">
    <vt:lpwstr/>
  </property>
  <property fmtid="{D5CDD505-2E9C-101B-9397-08002B2CF9AE}" pid="16" name="_dlc_DocId">
    <vt:lpwstr>SDSOD-119-227</vt:lpwstr>
  </property>
  <property fmtid="{D5CDD505-2E9C-101B-9397-08002B2CF9AE}" pid="17" name="_dlc_DocIdItemGuid">
    <vt:lpwstr>272f2cd2-f0b6-4370-87c1-a6bfc68463d3</vt:lpwstr>
  </property>
  <property fmtid="{D5CDD505-2E9C-101B-9397-08002B2CF9AE}" pid="18" name="_dlc_DocIdUrl">
    <vt:lpwstr>http://portal.sd.intra.stzh.ch/sod/regelwerk/_layouts/DocIdRedir.aspx?ID=SDSOD-119-227, SDSOD-119-227</vt:lpwstr>
  </property>
  <property fmtid="{D5CDD505-2E9C-101B-9397-08002B2CF9AE}" pid="19" name="WorkflowChangePath">
    <vt:lpwstr>52675646-02d6-422a-bf6f-0a8dd6281eff,7;52675646-02d6-422a-bf6f-0a8dd6281eff,9;0d2b39e8-dd18-4502-a924-40335b5a9ad4,11;0d2b39e8-dd18-4502-a924-40335b5a9ad4,13;1dbebda2-0151-441b-bad0-3a4bc52a6e32,20;7dbe9e3d-1110-41fa-836b-195a3e49061c,6;7dbe9e3d-1110-41fa</vt:lpwstr>
  </property>
  <property fmtid="{D5CDD505-2E9C-101B-9397-08002B2CF9AE}" pid="20" name="Fachressorts">
    <vt:lpwstr>5;#Wirtschaftliche Hilfe</vt:lpwstr>
  </property>
  <property fmtid="{D5CDD505-2E9C-101B-9397-08002B2CF9AE}" pid="21" name="Dokumentenart0">
    <vt:lpwstr>5</vt:lpwstr>
  </property>
  <property fmtid="{D5CDD505-2E9C-101B-9397-08002B2CF9AE}" pid="22" name="display_urn:schemas-microsoft-com:office:office#Kontaktperson_x0020_f_x00fc_r_x0020_SOD_x0020_KOM">
    <vt:lpwstr>Hohermuth Ivo (SD)</vt:lpwstr>
  </property>
</Properties>
</file>