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:rsidRPr="008B3194" w14:paraId="293BABD7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293BABD4" w14:textId="77777777" w:rsidR="002129A1" w:rsidRPr="008B3194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 w:rsidRPr="008B3194"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293BABD5" w14:textId="77777777" w:rsidR="002129A1" w:rsidRPr="008B3194" w:rsidRDefault="00595BC2" w:rsidP="00BE6F52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 w:rsidRPr="008B3194">
              <w:t>Praxishilfe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293BABD6" w14:textId="77777777" w:rsidR="002129A1" w:rsidRPr="008B3194" w:rsidRDefault="00BE6F52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Cs/>
              </w:rPr>
            </w:pPr>
            <w:r w:rsidRPr="008B3194">
              <w:rPr>
                <w:bCs/>
              </w:rPr>
              <w:t>Gültig ab</w:t>
            </w:r>
          </w:p>
        </w:tc>
      </w:tr>
      <w:tr w:rsidR="002129A1" w:rsidRPr="008B3194" w14:paraId="293BABDD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293BABD8" w14:textId="77777777" w:rsidR="002129A1" w:rsidRPr="008B3194" w:rsidRDefault="00F77BBA" w:rsidP="009930E3">
            <w:pPr>
              <w:rPr>
                <w:b/>
                <w:sz w:val="20"/>
              </w:rPr>
            </w:pPr>
            <w:hyperlink r:id="rId13" w:history="1">
              <w:r w:rsidR="00DF4FBA" w:rsidRPr="008B3194">
                <w:rPr>
                  <w:rStyle w:val="Hyperlink"/>
                  <w:sz w:val="20"/>
                </w:rPr>
                <w:t>Falladministration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293BABD9" w14:textId="77777777" w:rsidR="002129A1" w:rsidRPr="008B3194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293BABDA" w14:textId="77777777" w:rsidR="00654D2C" w:rsidRPr="008B3194" w:rsidRDefault="00654D2C" w:rsidP="009930E3">
            <w:pPr>
              <w:jc w:val="right"/>
              <w:rPr>
                <w:sz w:val="20"/>
              </w:rPr>
            </w:pPr>
          </w:p>
          <w:p w14:paraId="293BABDB" w14:textId="043B88E0" w:rsidR="00654D2C" w:rsidRPr="008B3194" w:rsidRDefault="00F77BBA" w:rsidP="009930E3">
            <w:pPr>
              <w:jc w:val="right"/>
              <w:rPr>
                <w:sz w:val="20"/>
              </w:rPr>
            </w:pPr>
            <w:r>
              <w:rPr>
                <w:sz w:val="20"/>
                <w:highlight w:val="yellow"/>
              </w:rPr>
              <w:t>01</w:t>
            </w:r>
            <w:r w:rsidR="00AD6D6A" w:rsidRPr="00CD109F">
              <w:rPr>
                <w:sz w:val="20"/>
                <w:highlight w:val="yellow"/>
              </w:rPr>
              <w:t>.</w:t>
            </w:r>
            <w:r>
              <w:rPr>
                <w:sz w:val="20"/>
                <w:highlight w:val="yellow"/>
              </w:rPr>
              <w:t>07</w:t>
            </w:r>
            <w:r w:rsidR="00AD6D6A" w:rsidRPr="00CD109F">
              <w:rPr>
                <w:sz w:val="20"/>
                <w:highlight w:val="yellow"/>
              </w:rPr>
              <w:t>.2023</w:t>
            </w:r>
          </w:p>
          <w:p w14:paraId="293BABDC" w14:textId="70FC9A68" w:rsidR="002129A1" w:rsidRPr="008B3194" w:rsidRDefault="00654D2C" w:rsidP="00AD6D6A">
            <w:pPr>
              <w:jc w:val="right"/>
              <w:rPr>
                <w:b/>
                <w:sz w:val="20"/>
              </w:rPr>
            </w:pPr>
            <w:r w:rsidRPr="008B3194">
              <w:rPr>
                <w:sz w:val="20"/>
              </w:rPr>
              <w:t xml:space="preserve">ersetzt </w:t>
            </w:r>
            <w:r w:rsidR="002901F3">
              <w:rPr>
                <w:sz w:val="20"/>
              </w:rPr>
              <w:t>0</w:t>
            </w:r>
            <w:r w:rsidR="00AD6D6A">
              <w:rPr>
                <w:sz w:val="20"/>
              </w:rPr>
              <w:t>1.10.2017</w:t>
            </w:r>
            <w:r w:rsidR="002129A1" w:rsidRPr="008B3194">
              <w:rPr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129A1" w:rsidRPr="008B3194">
              <w:rPr>
                <w:sz w:val="20"/>
              </w:rPr>
              <w:instrText xml:space="preserve"> FORMTEXT </w:instrText>
            </w:r>
            <w:r w:rsidR="00F77BBA">
              <w:rPr>
                <w:b/>
                <w:sz w:val="20"/>
              </w:rPr>
            </w:r>
            <w:r w:rsidR="00F77BBA">
              <w:rPr>
                <w:b/>
                <w:sz w:val="20"/>
              </w:rPr>
              <w:fldChar w:fldCharType="separate"/>
            </w:r>
            <w:r w:rsidR="002129A1" w:rsidRPr="008B3194">
              <w:rPr>
                <w:b/>
                <w:sz w:val="20"/>
              </w:rPr>
              <w:fldChar w:fldCharType="end"/>
            </w:r>
          </w:p>
        </w:tc>
      </w:tr>
      <w:tr w:rsidR="002129A1" w:rsidRPr="008B3194" w14:paraId="293BABDF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3BABDE" w14:textId="451092DB" w:rsidR="002129A1" w:rsidRPr="008B3194" w:rsidRDefault="00DF4FBA" w:rsidP="00245B95">
            <w:pPr>
              <w:pStyle w:val="Titel"/>
              <w:framePr w:hSpace="0" w:wrap="auto" w:vAnchor="margin" w:hAnchor="text" w:xAlign="left" w:yAlign="inline"/>
            </w:pPr>
            <w:r w:rsidRPr="008B3194">
              <w:t xml:space="preserve">Zuständigkeiten und Aufgaben nach Todesfall </w:t>
            </w:r>
            <w:r w:rsidR="00340DEB" w:rsidRPr="008B3194">
              <w:t>von</w:t>
            </w:r>
            <w:r w:rsidR="00727621" w:rsidRPr="008B3194">
              <w:t xml:space="preserve"> </w:t>
            </w:r>
            <w:r w:rsidR="002F15FF" w:rsidRPr="008B3194">
              <w:t>Klient</w:t>
            </w:r>
            <w:r w:rsidR="00245B95">
              <w:t>*</w:t>
            </w:r>
            <w:r w:rsidR="00D9388D">
              <w:t>i</w:t>
            </w:r>
            <w:r w:rsidR="009A350C" w:rsidRPr="008B3194">
              <w:t xml:space="preserve">nnen </w:t>
            </w:r>
            <w:r w:rsidR="00727621" w:rsidRPr="008B3194">
              <w:t xml:space="preserve">mit </w:t>
            </w:r>
            <w:r w:rsidRPr="008B3194">
              <w:t>wirtschaftliche</w:t>
            </w:r>
            <w:r w:rsidR="00727621" w:rsidRPr="008B3194">
              <w:t>r</w:t>
            </w:r>
            <w:r w:rsidRPr="008B3194">
              <w:t xml:space="preserve"> Hilfe</w:t>
            </w:r>
            <w:r w:rsidR="00245B95">
              <w:t xml:space="preserve"> </w:t>
            </w:r>
          </w:p>
        </w:tc>
      </w:tr>
    </w:tbl>
    <w:p w14:paraId="293BABE0" w14:textId="77777777" w:rsidR="003415A9" w:rsidRPr="008B3194" w:rsidRDefault="003415A9">
      <w:pPr>
        <w:pStyle w:val="Absatz0"/>
        <w:sectPr w:rsidR="003415A9" w:rsidRPr="008B3194" w:rsidSect="003E5FC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  <w:bookmarkStart w:id="0" w:name="_GoBack"/>
      <w:bookmarkEnd w:id="0"/>
    </w:p>
    <w:p w14:paraId="293BABE1" w14:textId="77777777" w:rsidR="00EA122A" w:rsidRPr="008B3194" w:rsidRDefault="00DF4FBA" w:rsidP="00DF4FBA">
      <w:pPr>
        <w:pStyle w:val="berschrift1"/>
      </w:pPr>
      <w:r w:rsidRPr="008B3194">
        <w:t xml:space="preserve">Grundlage </w:t>
      </w:r>
    </w:p>
    <w:p w14:paraId="293BABE2" w14:textId="49A52645" w:rsidR="00654D2C" w:rsidRPr="008B3194" w:rsidRDefault="00654D2C" w:rsidP="00654D2C">
      <w:pPr>
        <w:pStyle w:val="Absatz0"/>
      </w:pPr>
      <w:r w:rsidRPr="008B3194">
        <w:t>Die fo</w:t>
      </w:r>
      <w:r w:rsidR="000D7E91" w:rsidRPr="008B3194">
        <w:t xml:space="preserve">lgenden Ausführungen gelten </w:t>
      </w:r>
      <w:r w:rsidR="008807CE">
        <w:t>aufgrund von § 28 und § 30</w:t>
      </w:r>
      <w:r w:rsidR="00D66C2A">
        <w:t xml:space="preserve"> Sozialhilfegesetz (</w:t>
      </w:r>
      <w:r w:rsidR="008807CE">
        <w:t>SHG</w:t>
      </w:r>
      <w:r w:rsidR="00D66C2A">
        <w:t>)</w:t>
      </w:r>
    </w:p>
    <w:p w14:paraId="293BABE3" w14:textId="0D9FC296" w:rsidR="00654D2C" w:rsidRPr="008B3194" w:rsidRDefault="008807CE" w:rsidP="00654D2C">
      <w:pPr>
        <w:pStyle w:val="Absatz0"/>
        <w:numPr>
          <w:ilvl w:val="0"/>
          <w:numId w:val="10"/>
        </w:numPr>
      </w:pPr>
      <w:r>
        <w:t xml:space="preserve">bei Personen, die im </w:t>
      </w:r>
      <w:r w:rsidR="00654D2C" w:rsidRPr="008B3194">
        <w:t xml:space="preserve">Zeitpunkt </w:t>
      </w:r>
      <w:r w:rsidR="000D7E91" w:rsidRPr="008B3194">
        <w:t>ihres</w:t>
      </w:r>
      <w:r w:rsidR="00654D2C" w:rsidRPr="008B3194">
        <w:t xml:space="preserve"> Todes unterstützt wurden,</w:t>
      </w:r>
      <w:r>
        <w:t xml:space="preserve"> sowie </w:t>
      </w:r>
    </w:p>
    <w:p w14:paraId="293BABE4" w14:textId="77777777" w:rsidR="00654D2C" w:rsidRPr="008B3194" w:rsidRDefault="008807CE" w:rsidP="00654D2C">
      <w:pPr>
        <w:pStyle w:val="Absatz0"/>
        <w:numPr>
          <w:ilvl w:val="0"/>
          <w:numId w:val="10"/>
        </w:numPr>
      </w:pPr>
      <w:r>
        <w:t xml:space="preserve">bei </w:t>
      </w:r>
      <w:r w:rsidR="00654D2C" w:rsidRPr="008B3194">
        <w:t>Personen,</w:t>
      </w:r>
      <w:r>
        <w:t xml:space="preserve"> die im Zeitpunkt</w:t>
      </w:r>
      <w:r w:rsidR="00654D2C" w:rsidRPr="008B3194">
        <w:t xml:space="preserve"> </w:t>
      </w:r>
      <w:r>
        <w:t xml:space="preserve">ihres Todes nicht mehr unterstützt wurden, </w:t>
      </w:r>
      <w:r w:rsidR="00654D2C" w:rsidRPr="008B3194">
        <w:t xml:space="preserve">die </w:t>
      </w:r>
      <w:r>
        <w:t xml:space="preserve">aber </w:t>
      </w:r>
      <w:r w:rsidR="00654D2C" w:rsidRPr="008B3194">
        <w:t xml:space="preserve">innerhalb der letzten 15 Jahre vor </w:t>
      </w:r>
      <w:r w:rsidR="000D7E91" w:rsidRPr="008B3194">
        <w:t xml:space="preserve">ihrem </w:t>
      </w:r>
      <w:r w:rsidR="00654D2C" w:rsidRPr="008B3194">
        <w:t xml:space="preserve">Tod unterstützt </w:t>
      </w:r>
      <w:r>
        <w:t>worden sind</w:t>
      </w:r>
      <w:r w:rsidR="00306833" w:rsidRPr="008B3194">
        <w:t>.</w:t>
      </w:r>
    </w:p>
    <w:p w14:paraId="293BABE5" w14:textId="77777777" w:rsidR="00654D2C" w:rsidRPr="008B3194" w:rsidRDefault="00654D2C" w:rsidP="00654D2C">
      <w:pPr>
        <w:pStyle w:val="Absatz0"/>
        <w:ind w:left="720"/>
      </w:pPr>
    </w:p>
    <w:p w14:paraId="293BABE6" w14:textId="3A2619FD" w:rsidR="003E4703" w:rsidRPr="008B3194" w:rsidRDefault="003E4703">
      <w:pPr>
        <w:pStyle w:val="Absatz0"/>
      </w:pPr>
      <w:r w:rsidRPr="008B3194">
        <w:t>Gemäss Zivil</w:t>
      </w:r>
      <w:r w:rsidR="0028272C" w:rsidRPr="008B3194">
        <w:t>recht</w:t>
      </w:r>
      <w:r w:rsidRPr="008B3194">
        <w:t xml:space="preserve"> sind </w:t>
      </w:r>
      <w:r w:rsidR="00DF4FBA" w:rsidRPr="008B3194">
        <w:t xml:space="preserve">nach dem Tod </w:t>
      </w:r>
      <w:r w:rsidR="002960E6" w:rsidRPr="008B3194">
        <w:t>von</w:t>
      </w:r>
      <w:r w:rsidR="00DF4FBA" w:rsidRPr="008B3194">
        <w:t xml:space="preserve"> </w:t>
      </w:r>
      <w:r w:rsidR="009A350C" w:rsidRPr="008B3194">
        <w:t xml:space="preserve">mit wirtschaftlicher </w:t>
      </w:r>
      <w:r w:rsidR="0009741E">
        <w:t>H</w:t>
      </w:r>
      <w:r w:rsidR="0009741E" w:rsidRPr="008B3194">
        <w:t xml:space="preserve">ilfe </w:t>
      </w:r>
      <w:r w:rsidR="0009741E">
        <w:t xml:space="preserve">(WH) </w:t>
      </w:r>
      <w:r w:rsidR="009A350C" w:rsidRPr="008B3194">
        <w:t xml:space="preserve">unterstützten Personen </w:t>
      </w:r>
      <w:r w:rsidR="0028272C" w:rsidRPr="008B3194">
        <w:t xml:space="preserve">für alle Belange </w:t>
      </w:r>
      <w:r w:rsidR="00DF4FBA" w:rsidRPr="008B3194">
        <w:t xml:space="preserve">die </w:t>
      </w:r>
      <w:r w:rsidR="00A16C84">
        <w:t>Erb*</w:t>
      </w:r>
      <w:r w:rsidR="00D9388D">
        <w:t>i</w:t>
      </w:r>
      <w:r w:rsidR="00A16C84">
        <w:t>nnen</w:t>
      </w:r>
      <w:r w:rsidR="009A350C" w:rsidRPr="008B3194">
        <w:t xml:space="preserve"> </w:t>
      </w:r>
      <w:r w:rsidRPr="008B3194">
        <w:t>zuständig</w:t>
      </w:r>
      <w:r w:rsidR="00727621" w:rsidRPr="008B3194">
        <w:t xml:space="preserve"> (Ausnahme vgl. Ziffer </w:t>
      </w:r>
      <w:r w:rsidR="000D7E91" w:rsidRPr="008B3194">
        <w:t>2</w:t>
      </w:r>
      <w:r w:rsidR="00727621" w:rsidRPr="008B3194">
        <w:t xml:space="preserve">). </w:t>
      </w:r>
      <w:r w:rsidR="00C17FB5" w:rsidRPr="008B3194">
        <w:t>Allfällige Handlungen nach dem Tod können nur als „Geschäftsführer ohne Auftrag“ (Art. 419 bis 424 OR) durchgeführt werden.</w:t>
      </w:r>
      <w:r w:rsidR="0009741E">
        <w:t xml:space="preserve"> </w:t>
      </w:r>
      <w:r w:rsidR="0009741E" w:rsidRPr="00BF35BF">
        <w:rPr>
          <w:highlight w:val="yellow"/>
        </w:rPr>
        <w:t xml:space="preserve">Für </w:t>
      </w:r>
      <w:proofErr w:type="spellStart"/>
      <w:r w:rsidR="0009741E" w:rsidRPr="00BF35BF">
        <w:rPr>
          <w:highlight w:val="yellow"/>
        </w:rPr>
        <w:t>verbeiständete</w:t>
      </w:r>
      <w:proofErr w:type="spellEnd"/>
      <w:r w:rsidR="0009741E" w:rsidRPr="00BF35BF">
        <w:rPr>
          <w:highlight w:val="yellow"/>
        </w:rPr>
        <w:t xml:space="preserve"> Personen</w:t>
      </w:r>
      <w:r w:rsidR="003F6734">
        <w:rPr>
          <w:highlight w:val="yellow"/>
        </w:rPr>
        <w:t xml:space="preserve"> mit oder ohne</w:t>
      </w:r>
      <w:r w:rsidR="0009741E" w:rsidRPr="00BF35BF">
        <w:rPr>
          <w:highlight w:val="yellow"/>
        </w:rPr>
        <w:t xml:space="preserve"> </w:t>
      </w:r>
      <w:r w:rsidR="003F6734">
        <w:rPr>
          <w:highlight w:val="yellow"/>
        </w:rPr>
        <w:t>WH</w:t>
      </w:r>
      <w:r w:rsidR="00854C9C">
        <w:rPr>
          <w:highlight w:val="yellow"/>
        </w:rPr>
        <w:t xml:space="preserve"> </w:t>
      </w:r>
      <w:r w:rsidR="003F6734">
        <w:rPr>
          <w:highlight w:val="yellow"/>
        </w:rPr>
        <w:t>gilt ausschliesslich</w:t>
      </w:r>
      <w:r w:rsidR="0009741E" w:rsidRPr="00BF35BF">
        <w:rPr>
          <w:highlight w:val="yellow"/>
        </w:rPr>
        <w:t xml:space="preserve">  die </w:t>
      </w:r>
      <w:hyperlink r:id="rId18" w:history="1">
        <w:r w:rsidR="0009741E" w:rsidRPr="00BF35BF">
          <w:rPr>
            <w:rStyle w:val="Hyperlink"/>
            <w:highlight w:val="yellow"/>
          </w:rPr>
          <w:t>PRA Aufgaben nach Todesfall bei EKSM</w:t>
        </w:r>
      </w:hyperlink>
      <w:r w:rsidR="003F6734">
        <w:rPr>
          <w:rStyle w:val="Hyperlink"/>
          <w:highlight w:val="yellow"/>
        </w:rPr>
        <w:t>.</w:t>
      </w:r>
      <w:r w:rsidR="0009741E" w:rsidRPr="00BF35BF">
        <w:rPr>
          <w:highlight w:val="yellow"/>
        </w:rPr>
        <w:t xml:space="preserve"> </w:t>
      </w:r>
    </w:p>
    <w:p w14:paraId="293BABE7" w14:textId="77777777" w:rsidR="00F558C2" w:rsidRPr="0057375B" w:rsidRDefault="00F558C2" w:rsidP="00F558C2">
      <w:pPr>
        <w:pStyle w:val="berschrift1"/>
      </w:pPr>
      <w:r w:rsidRPr="008B3194">
        <w:t>Aufgaben der Fallführenden</w:t>
      </w:r>
    </w:p>
    <w:p w14:paraId="293BABE8" w14:textId="77777777" w:rsidR="0057375B" w:rsidRPr="0057375B" w:rsidRDefault="0057375B" w:rsidP="00F558C2">
      <w:pPr>
        <w:pStyle w:val="Absatz0"/>
        <w:rPr>
          <w:b/>
          <w:sz w:val="8"/>
          <w:szCs w:val="8"/>
        </w:rPr>
      </w:pPr>
    </w:p>
    <w:p w14:paraId="293BABE9" w14:textId="36811275" w:rsidR="00F558C2" w:rsidRDefault="006A5D79" w:rsidP="00F558C2">
      <w:pPr>
        <w:pStyle w:val="Absatz0"/>
        <w:rPr>
          <w:b/>
          <w:szCs w:val="22"/>
        </w:rPr>
      </w:pPr>
      <w:r>
        <w:rPr>
          <w:b/>
          <w:szCs w:val="22"/>
        </w:rPr>
        <w:t>Meldepflicht</w:t>
      </w:r>
      <w:r w:rsidRPr="008B3194">
        <w:rPr>
          <w:b/>
          <w:szCs w:val="22"/>
        </w:rPr>
        <w:t xml:space="preserve"> </w:t>
      </w:r>
      <w:r w:rsidR="00F558C2" w:rsidRPr="008B3194">
        <w:rPr>
          <w:b/>
          <w:szCs w:val="22"/>
        </w:rPr>
        <w:t xml:space="preserve">an involvierte Stellen sowie an </w:t>
      </w:r>
      <w:r w:rsidR="00D9388D">
        <w:rPr>
          <w:b/>
          <w:szCs w:val="22"/>
        </w:rPr>
        <w:t>Erb*i</w:t>
      </w:r>
      <w:r w:rsidR="00A16C84">
        <w:rPr>
          <w:b/>
          <w:szCs w:val="22"/>
        </w:rPr>
        <w:t>nnen</w:t>
      </w:r>
    </w:p>
    <w:p w14:paraId="293BABEA" w14:textId="77777777" w:rsidR="0057375B" w:rsidRPr="0057375B" w:rsidRDefault="0057375B" w:rsidP="0057375B">
      <w:pPr>
        <w:rPr>
          <w:sz w:val="8"/>
          <w:szCs w:val="8"/>
        </w:rPr>
      </w:pPr>
    </w:p>
    <w:p w14:paraId="293BABEB" w14:textId="23ECA625" w:rsidR="00F558C2" w:rsidRPr="008B3194" w:rsidRDefault="00F558C2" w:rsidP="00F558C2">
      <w:pPr>
        <w:pStyle w:val="Absatz0"/>
      </w:pPr>
      <w:r w:rsidRPr="008B3194">
        <w:rPr>
          <w:szCs w:val="22"/>
        </w:rPr>
        <w:t>Involvierte</w:t>
      </w:r>
      <w:r w:rsidRPr="008B3194">
        <w:t xml:space="preserve"> Stellen (z.B. </w:t>
      </w:r>
      <w:r w:rsidR="008807CE">
        <w:t>SVA</w:t>
      </w:r>
      <w:r w:rsidR="00194EC2">
        <w:t xml:space="preserve"> Zürich</w:t>
      </w:r>
      <w:r w:rsidR="008807CE">
        <w:t xml:space="preserve">, </w:t>
      </w:r>
      <w:r w:rsidRPr="008B3194">
        <w:t>AZL, Krankenkasse, Versicherungen</w:t>
      </w:r>
      <w:r w:rsidR="008807CE">
        <w:t xml:space="preserve">, aber auch Therapieeinrichtungen oder </w:t>
      </w:r>
      <w:proofErr w:type="spellStart"/>
      <w:r w:rsidR="008807CE">
        <w:t>Zahnärzt</w:t>
      </w:r>
      <w:proofErr w:type="spellEnd"/>
      <w:r w:rsidR="00D9388D">
        <w:t>*i</w:t>
      </w:r>
      <w:r w:rsidR="00A16C84">
        <w:t>nnen</w:t>
      </w:r>
      <w:r w:rsidR="008807CE">
        <w:t>, denen KOGU erteilt worden ist</w:t>
      </w:r>
      <w:r w:rsidRPr="008B3194">
        <w:t xml:space="preserve">) sind </w:t>
      </w:r>
      <w:r w:rsidRPr="003F6734">
        <w:rPr>
          <w:b/>
          <w:highlight w:val="yellow"/>
        </w:rPr>
        <w:t>unverzüglich</w:t>
      </w:r>
      <w:r w:rsidRPr="008B3194">
        <w:t xml:space="preserve"> über den Todesfall zu informieren</w:t>
      </w:r>
      <w:r w:rsidR="00E73C15">
        <w:t xml:space="preserve"> </w:t>
      </w:r>
      <w:r w:rsidR="00E73C15" w:rsidRPr="009631D3">
        <w:rPr>
          <w:highlight w:val="yellow"/>
        </w:rPr>
        <w:t xml:space="preserve">und bestehende </w:t>
      </w:r>
      <w:proofErr w:type="spellStart"/>
      <w:r w:rsidR="00E73C15" w:rsidRPr="009631D3">
        <w:rPr>
          <w:highlight w:val="yellow"/>
        </w:rPr>
        <w:t>KOGU's</w:t>
      </w:r>
      <w:proofErr w:type="spellEnd"/>
      <w:r w:rsidR="00E73C15" w:rsidRPr="009631D3">
        <w:rPr>
          <w:highlight w:val="yellow"/>
        </w:rPr>
        <w:t xml:space="preserve"> </w:t>
      </w:r>
      <w:r w:rsidR="0041658F">
        <w:rPr>
          <w:highlight w:val="yellow"/>
        </w:rPr>
        <w:t xml:space="preserve">(z.B. bei </w:t>
      </w:r>
      <w:proofErr w:type="spellStart"/>
      <w:r w:rsidR="0041658F">
        <w:rPr>
          <w:highlight w:val="yellow"/>
        </w:rPr>
        <w:t>Zahnärzt</w:t>
      </w:r>
      <w:proofErr w:type="spellEnd"/>
      <w:r w:rsidR="0041658F">
        <w:rPr>
          <w:highlight w:val="yellow"/>
        </w:rPr>
        <w:t xml:space="preserve">*innen) </w:t>
      </w:r>
      <w:r w:rsidR="00E73C15" w:rsidRPr="009631D3">
        <w:rPr>
          <w:highlight w:val="yellow"/>
        </w:rPr>
        <w:t>sind auf den nächstmöglichen Zeitpunkt zurückzuziehen</w:t>
      </w:r>
      <w:r w:rsidR="00E73C15">
        <w:t xml:space="preserve">. </w:t>
      </w:r>
    </w:p>
    <w:p w14:paraId="293BABEC" w14:textId="77777777" w:rsidR="00F558C2" w:rsidRPr="008B3194" w:rsidRDefault="00F558C2" w:rsidP="00F558C2">
      <w:pPr>
        <w:pStyle w:val="Absatz0"/>
      </w:pPr>
    </w:p>
    <w:p w14:paraId="293BABED" w14:textId="68767301" w:rsidR="00F558C2" w:rsidRPr="008B3194" w:rsidRDefault="00F558C2" w:rsidP="00F558C2">
      <w:pPr>
        <w:pStyle w:val="Absatz0"/>
      </w:pPr>
      <w:r w:rsidRPr="008B3194">
        <w:t xml:space="preserve">Die Fallführenden informieren zudem die </w:t>
      </w:r>
      <w:r w:rsidR="00D9388D">
        <w:t>Erb*i</w:t>
      </w:r>
      <w:r w:rsidR="00A16C84">
        <w:t>nnen</w:t>
      </w:r>
      <w:r w:rsidRPr="008B3194">
        <w:t xml:space="preserve"> soweit nötig über die finanziellen Verhältnisse. Sind keine </w:t>
      </w:r>
      <w:r w:rsidR="00D9388D">
        <w:t>Erb*i</w:t>
      </w:r>
      <w:r w:rsidR="00A16C84">
        <w:t>nnen</w:t>
      </w:r>
      <w:r w:rsidRPr="008B3194">
        <w:t xml:space="preserve"> bekannt, ist es nicht Aufgabe der Fallführenden, diese ausfindig zu machen. Die Verantwortung dafür liegt beim zuständigen Gericht.</w:t>
      </w:r>
    </w:p>
    <w:p w14:paraId="293BABEE" w14:textId="77777777" w:rsidR="00F558C2" w:rsidRPr="008B3194" w:rsidRDefault="00F558C2" w:rsidP="00F558C2">
      <w:pPr>
        <w:pStyle w:val="Absatz0"/>
      </w:pPr>
    </w:p>
    <w:p w14:paraId="293BABEF" w14:textId="3E1CFAF1" w:rsidR="00F558C2" w:rsidRPr="008B3194" w:rsidRDefault="00F558C2" w:rsidP="00F558C2">
      <w:pPr>
        <w:pStyle w:val="Absatz0"/>
      </w:pPr>
      <w:r w:rsidRPr="008B3194">
        <w:t xml:space="preserve">Angehörige und Bezugspersonen sollen dann kontaktiert werden, wenn sie </w:t>
      </w:r>
      <w:r w:rsidR="00D66C2A" w:rsidRPr="008B3194">
        <w:t>i</w:t>
      </w:r>
      <w:r w:rsidR="00D66C2A">
        <w:t xml:space="preserve">n </w:t>
      </w:r>
      <w:r w:rsidRPr="008B3194">
        <w:t xml:space="preserve">Kontakt mit </w:t>
      </w:r>
      <w:r w:rsidR="000E3F65">
        <w:t>der Fallführung</w:t>
      </w:r>
      <w:r w:rsidRPr="008B3194">
        <w:t xml:space="preserve"> standen.</w:t>
      </w:r>
    </w:p>
    <w:p w14:paraId="293BABF0" w14:textId="77777777" w:rsidR="00F558C2" w:rsidRPr="008B3194" w:rsidRDefault="00F558C2" w:rsidP="00F558C2">
      <w:pPr>
        <w:pStyle w:val="Absatz0"/>
        <w:rPr>
          <w:szCs w:val="22"/>
        </w:rPr>
      </w:pPr>
    </w:p>
    <w:p w14:paraId="293BABF1" w14:textId="77777777" w:rsidR="00F558C2" w:rsidRDefault="00F558C2" w:rsidP="00F558C2">
      <w:pPr>
        <w:pStyle w:val="Absatz0"/>
        <w:rPr>
          <w:b/>
        </w:rPr>
      </w:pPr>
      <w:r w:rsidRPr="008B3194">
        <w:rPr>
          <w:b/>
        </w:rPr>
        <w:t>Sozialversicherungen</w:t>
      </w:r>
    </w:p>
    <w:p w14:paraId="293BABF2" w14:textId="77777777" w:rsidR="0057375B" w:rsidRPr="0057375B" w:rsidRDefault="0057375B" w:rsidP="00F558C2">
      <w:pPr>
        <w:pStyle w:val="Absatz0"/>
        <w:rPr>
          <w:b/>
          <w:sz w:val="8"/>
          <w:szCs w:val="8"/>
        </w:rPr>
      </w:pPr>
    </w:p>
    <w:p w14:paraId="293BABF3" w14:textId="5818A4A5" w:rsidR="00F558C2" w:rsidRPr="008B3194" w:rsidRDefault="00F558C2" w:rsidP="00F558C2">
      <w:pPr>
        <w:pStyle w:val="Absatz0"/>
      </w:pPr>
      <w:r w:rsidRPr="008B3194">
        <w:t xml:space="preserve">Laufende AHV-, IV-Renten etc., die für den </w:t>
      </w:r>
      <w:r w:rsidR="00002242">
        <w:t>M</w:t>
      </w:r>
      <w:r w:rsidR="00002242" w:rsidRPr="008B3194">
        <w:t xml:space="preserve">onat </w:t>
      </w:r>
      <w:r w:rsidRPr="008B3194">
        <w:t xml:space="preserve">nach dem Tod noch bei den </w:t>
      </w:r>
      <w:r w:rsidR="00AD6D6A">
        <w:t>Sozialen Diensten (</w:t>
      </w:r>
      <w:r w:rsidRPr="008B3194">
        <w:t>SOD</w:t>
      </w:r>
      <w:r w:rsidR="00AD6D6A">
        <w:t>)</w:t>
      </w:r>
      <w:r w:rsidRPr="008B3194">
        <w:t xml:space="preserve"> eingegangen sind, müssen an die auszahlende Stelle rückerstattet werden. Überweisungen an potentielle </w:t>
      </w:r>
      <w:r w:rsidR="00D9388D">
        <w:t>Erb*i</w:t>
      </w:r>
      <w:r w:rsidR="00A16C84">
        <w:t>nnen</w:t>
      </w:r>
      <w:r w:rsidRPr="008B3194">
        <w:t xml:space="preserve"> sind zu unterlassen.</w:t>
      </w:r>
    </w:p>
    <w:p w14:paraId="293BABF4" w14:textId="77777777" w:rsidR="00F558C2" w:rsidRPr="008B3194" w:rsidRDefault="00F558C2" w:rsidP="00F558C2">
      <w:pPr>
        <w:pStyle w:val="Absatz0"/>
      </w:pPr>
    </w:p>
    <w:p w14:paraId="293BABF5" w14:textId="1D9EAFC8" w:rsidR="00F558C2" w:rsidRPr="008B3194" w:rsidRDefault="00F558C2" w:rsidP="00F558C2">
      <w:pPr>
        <w:pStyle w:val="Absatz0"/>
      </w:pPr>
      <w:r w:rsidRPr="007A09A2">
        <w:rPr>
          <w:highlight w:val="yellow"/>
        </w:rPr>
        <w:t>Ist eine finanzielle Leistung (z.B. IV-Rente) erst beantragt aber noch nicht gesprochen wor</w:t>
      </w:r>
      <w:r w:rsidRPr="007A09A2">
        <w:rPr>
          <w:highlight w:val="yellow"/>
        </w:rPr>
        <w:softHyphen/>
        <w:t>den,</w:t>
      </w:r>
      <w:r w:rsidR="00130222" w:rsidRPr="007A09A2">
        <w:rPr>
          <w:highlight w:val="yellow"/>
        </w:rPr>
        <w:t xml:space="preserve"> ist die zuständige </w:t>
      </w:r>
      <w:r w:rsidR="00730F70" w:rsidRPr="007A09A2">
        <w:rPr>
          <w:highlight w:val="yellow"/>
        </w:rPr>
        <w:t>I</w:t>
      </w:r>
      <w:r w:rsidR="00130222" w:rsidRPr="007A09A2">
        <w:rPr>
          <w:highlight w:val="yellow"/>
        </w:rPr>
        <w:t>nstitution (</w:t>
      </w:r>
      <w:r w:rsidR="009853B9" w:rsidRPr="007A09A2">
        <w:rPr>
          <w:highlight w:val="yellow"/>
        </w:rPr>
        <w:t xml:space="preserve">z.B. </w:t>
      </w:r>
      <w:r w:rsidR="00130222" w:rsidRPr="007A09A2">
        <w:rPr>
          <w:highlight w:val="yellow"/>
        </w:rPr>
        <w:t>SVA) darauf hinzuweisen, das Verfahren nicht einzustellen</w:t>
      </w:r>
      <w:r w:rsidR="00130222" w:rsidRPr="00CD109F">
        <w:rPr>
          <w:highlight w:val="yellow"/>
        </w:rPr>
        <w:t>.</w:t>
      </w:r>
      <w:r w:rsidR="006A5D79">
        <w:rPr>
          <w:highlight w:val="yellow"/>
        </w:rPr>
        <w:t xml:space="preserve"> Bei nahendem</w:t>
      </w:r>
      <w:r w:rsidR="00F85265">
        <w:rPr>
          <w:highlight w:val="yellow"/>
        </w:rPr>
        <w:t xml:space="preserve"> oder drohendem</w:t>
      </w:r>
      <w:r w:rsidR="006A5D79">
        <w:rPr>
          <w:highlight w:val="yellow"/>
        </w:rPr>
        <w:t xml:space="preserve"> Tod von KL, die sich in einem IV-Verfahren befinden, sollte von den KL eine ZL-Anmeldung unterschrieben werden</w:t>
      </w:r>
      <w:r w:rsidR="000203E8">
        <w:rPr>
          <w:highlight w:val="yellow"/>
        </w:rPr>
        <w:t>,</w:t>
      </w:r>
      <w:r w:rsidR="000308F7">
        <w:rPr>
          <w:highlight w:val="yellow"/>
        </w:rPr>
        <w:t xml:space="preserve"> da nach dem Tod niemand </w:t>
      </w:r>
      <w:r w:rsidR="0041658F">
        <w:rPr>
          <w:highlight w:val="yellow"/>
        </w:rPr>
        <w:t xml:space="preserve">mehr </w:t>
      </w:r>
      <w:r w:rsidR="000308F7">
        <w:rPr>
          <w:highlight w:val="yellow"/>
        </w:rPr>
        <w:t>für KL</w:t>
      </w:r>
      <w:r w:rsidR="006A5D79">
        <w:rPr>
          <w:highlight w:val="yellow"/>
        </w:rPr>
        <w:t xml:space="preserve"> eine Anmeldung </w:t>
      </w:r>
      <w:r w:rsidR="000203E8">
        <w:rPr>
          <w:highlight w:val="yellow"/>
        </w:rPr>
        <w:t xml:space="preserve">unterschreiben </w:t>
      </w:r>
      <w:r w:rsidR="006A5D79">
        <w:rPr>
          <w:highlight w:val="yellow"/>
        </w:rPr>
        <w:t>kann</w:t>
      </w:r>
      <w:r w:rsidR="000308F7">
        <w:rPr>
          <w:highlight w:val="yellow"/>
        </w:rPr>
        <w:t>.</w:t>
      </w:r>
      <w:r w:rsidR="000203E8">
        <w:rPr>
          <w:highlight w:val="yellow"/>
        </w:rPr>
        <w:t xml:space="preserve"> Eine </w:t>
      </w:r>
      <w:r w:rsidR="00F85265">
        <w:rPr>
          <w:highlight w:val="yellow"/>
        </w:rPr>
        <w:t xml:space="preserve">bereits vorgängig </w:t>
      </w:r>
      <w:r w:rsidR="000203E8">
        <w:rPr>
          <w:highlight w:val="yellow"/>
        </w:rPr>
        <w:t>unterschriebene Anmeldung kann jedoch auch nach dem Tod eingereicht werden.</w:t>
      </w:r>
      <w:r w:rsidR="000308F7">
        <w:rPr>
          <w:highlight w:val="yellow"/>
        </w:rPr>
        <w:t xml:space="preserve"> </w:t>
      </w:r>
      <w:r w:rsidR="0041658F">
        <w:rPr>
          <w:highlight w:val="yellow"/>
        </w:rPr>
        <w:t>Damit</w:t>
      </w:r>
      <w:r w:rsidR="000308F7">
        <w:rPr>
          <w:highlight w:val="yellow"/>
        </w:rPr>
        <w:t xml:space="preserve"> kann </w:t>
      </w:r>
      <w:r w:rsidR="0041658F">
        <w:rPr>
          <w:highlight w:val="yellow"/>
        </w:rPr>
        <w:t>einem</w:t>
      </w:r>
      <w:r w:rsidR="000308F7">
        <w:rPr>
          <w:highlight w:val="yellow"/>
        </w:rPr>
        <w:t xml:space="preserve"> Verlust von </w:t>
      </w:r>
      <w:r w:rsidR="0041658F">
        <w:rPr>
          <w:highlight w:val="yellow"/>
        </w:rPr>
        <w:t>vorgelagerten</w:t>
      </w:r>
      <w:r w:rsidR="000308F7">
        <w:rPr>
          <w:highlight w:val="yellow"/>
        </w:rPr>
        <w:t xml:space="preserve"> Leistungen für die SOD </w:t>
      </w:r>
      <w:r w:rsidR="0041658F">
        <w:rPr>
          <w:highlight w:val="yellow"/>
        </w:rPr>
        <w:t>vorgebeugt</w:t>
      </w:r>
      <w:r w:rsidR="000308F7">
        <w:rPr>
          <w:highlight w:val="yellow"/>
        </w:rPr>
        <w:t xml:space="preserve"> werden (siehe auch: </w:t>
      </w:r>
      <w:hyperlink r:id="rId19" w:history="1">
        <w:r w:rsidR="00CB23C8" w:rsidRPr="00CB23C8">
          <w:rPr>
            <w:rStyle w:val="Hyperlink"/>
            <w:highlight w:val="yellow"/>
          </w:rPr>
          <w:t>Checkliste Subsidiarität aus Perspektive Lebensereignisse</w:t>
        </w:r>
      </w:hyperlink>
      <w:r w:rsidR="000308F7">
        <w:rPr>
          <w:highlight w:val="yellow"/>
        </w:rPr>
        <w:t>).</w:t>
      </w:r>
      <w:r w:rsidR="000308F7" w:rsidRPr="000308F7">
        <w:rPr>
          <w:highlight w:val="yellow"/>
        </w:rPr>
        <w:t xml:space="preserve"> </w:t>
      </w:r>
      <w:r w:rsidR="00130222" w:rsidRPr="009631D3">
        <w:rPr>
          <w:highlight w:val="yellow"/>
        </w:rPr>
        <w:t>Z</w:t>
      </w:r>
      <w:r w:rsidRPr="009631D3">
        <w:rPr>
          <w:highlight w:val="yellow"/>
        </w:rPr>
        <w:t>ur Klärung des weiteren Vorgehens</w:t>
      </w:r>
      <w:r w:rsidR="00130222" w:rsidRPr="009631D3">
        <w:rPr>
          <w:highlight w:val="yellow"/>
        </w:rPr>
        <w:t xml:space="preserve"> kann</w:t>
      </w:r>
      <w:r w:rsidRPr="009631D3">
        <w:rPr>
          <w:highlight w:val="yellow"/>
        </w:rPr>
        <w:t xml:space="preserve"> das Team Sozialversicherungsrecht</w:t>
      </w:r>
      <w:r w:rsidR="00730F70" w:rsidRPr="009631D3">
        <w:rPr>
          <w:highlight w:val="yellow"/>
        </w:rPr>
        <w:t xml:space="preserve"> </w:t>
      </w:r>
      <w:r w:rsidRPr="009631D3">
        <w:rPr>
          <w:highlight w:val="yellow"/>
        </w:rPr>
        <w:t>beigezogen werden.</w:t>
      </w:r>
    </w:p>
    <w:p w14:paraId="293BABF6" w14:textId="77777777" w:rsidR="00F558C2" w:rsidRPr="008B3194" w:rsidRDefault="00F558C2" w:rsidP="00F558C2">
      <w:pPr>
        <w:pStyle w:val="Absatz0"/>
      </w:pPr>
    </w:p>
    <w:p w14:paraId="293BABF7" w14:textId="5DA8B63E" w:rsidR="00F558C2" w:rsidRPr="008B3194" w:rsidRDefault="00F558C2" w:rsidP="00F558C2">
      <w:pPr>
        <w:pStyle w:val="Absatz0"/>
        <w:rPr>
          <w:szCs w:val="22"/>
        </w:rPr>
      </w:pPr>
      <w:r w:rsidRPr="008B3194">
        <w:t xml:space="preserve">Bei der Krankenkasse und anderen Versicherungen </w:t>
      </w:r>
      <w:r w:rsidR="0033593A">
        <w:t>sind</w:t>
      </w:r>
      <w:r w:rsidR="0033593A" w:rsidRPr="008B3194">
        <w:t xml:space="preserve"> </w:t>
      </w:r>
      <w:r w:rsidRPr="008B3194">
        <w:t>Prämien, welche ei</w:t>
      </w:r>
      <w:r w:rsidRPr="008B3194">
        <w:rPr>
          <w:szCs w:val="22"/>
        </w:rPr>
        <w:t xml:space="preserve">nen Versicherungsschutz nach dem Todestag abdecken, </w:t>
      </w:r>
      <w:r w:rsidR="0033593A">
        <w:rPr>
          <w:szCs w:val="22"/>
        </w:rPr>
        <w:t>zurückzufordern</w:t>
      </w:r>
      <w:r w:rsidRPr="008B3194">
        <w:rPr>
          <w:szCs w:val="22"/>
        </w:rPr>
        <w:t>.</w:t>
      </w:r>
    </w:p>
    <w:p w14:paraId="293BABF8" w14:textId="77777777" w:rsidR="00253C1C" w:rsidRPr="008B3194" w:rsidRDefault="00253C1C" w:rsidP="00F558C2">
      <w:pPr>
        <w:pStyle w:val="Absatz0"/>
        <w:rPr>
          <w:szCs w:val="22"/>
        </w:rPr>
      </w:pPr>
    </w:p>
    <w:p w14:paraId="293BABF9" w14:textId="77777777" w:rsidR="000D7E91" w:rsidRPr="00D66C2A" w:rsidRDefault="00F558C2" w:rsidP="000D7E91">
      <w:pPr>
        <w:pStyle w:val="Absatz0"/>
        <w:rPr>
          <w:b/>
          <w:szCs w:val="22"/>
        </w:rPr>
      </w:pPr>
      <w:r w:rsidRPr="00D66C2A">
        <w:rPr>
          <w:b/>
          <w:szCs w:val="22"/>
        </w:rPr>
        <w:t>Ausgaben, welche auch nach dem Tod noch von den SOD übernommen werde</w:t>
      </w:r>
      <w:r w:rsidR="000D7E91" w:rsidRPr="00D66C2A">
        <w:rPr>
          <w:b/>
          <w:szCs w:val="22"/>
        </w:rPr>
        <w:t>n</w:t>
      </w:r>
    </w:p>
    <w:p w14:paraId="293BABFA" w14:textId="77777777" w:rsidR="0057375B" w:rsidRPr="00D66C2A" w:rsidRDefault="0057375B" w:rsidP="000D7E91">
      <w:pPr>
        <w:pStyle w:val="Absatz0"/>
        <w:rPr>
          <w:b/>
          <w:sz w:val="8"/>
          <w:szCs w:val="8"/>
        </w:rPr>
      </w:pPr>
    </w:p>
    <w:p w14:paraId="6612D6CA" w14:textId="3BC2F1AE" w:rsidR="00BF35BF" w:rsidRDefault="00E82CC4" w:rsidP="000D7E91">
      <w:pPr>
        <w:pStyle w:val="Absatz0"/>
        <w:rPr>
          <w:color w:val="000000"/>
          <w:szCs w:val="22"/>
        </w:rPr>
      </w:pPr>
      <w:r w:rsidRPr="00CD109F">
        <w:rPr>
          <w:color w:val="000000"/>
          <w:szCs w:val="22"/>
          <w:highlight w:val="yellow"/>
        </w:rPr>
        <w:t xml:space="preserve">Bei Auszahlung der WH gilt das Bedarfsdeckungsprinzip. </w:t>
      </w:r>
      <w:r w:rsidR="00BF35BF">
        <w:rPr>
          <w:color w:val="000000"/>
          <w:szCs w:val="22"/>
          <w:highlight w:val="yellow"/>
        </w:rPr>
        <w:t>Ab</w:t>
      </w:r>
      <w:r w:rsidR="00BF35BF" w:rsidRPr="00CD109F">
        <w:rPr>
          <w:color w:val="000000"/>
          <w:szCs w:val="22"/>
          <w:highlight w:val="yellow"/>
        </w:rPr>
        <w:t xml:space="preserve"> </w:t>
      </w:r>
      <w:r w:rsidRPr="00CD109F">
        <w:rPr>
          <w:color w:val="000000"/>
          <w:szCs w:val="22"/>
          <w:highlight w:val="yellow"/>
        </w:rPr>
        <w:t xml:space="preserve">Todesfall KL gibt es </w:t>
      </w:r>
      <w:r w:rsidR="002476FD">
        <w:rPr>
          <w:color w:val="000000"/>
          <w:szCs w:val="22"/>
          <w:highlight w:val="yellow"/>
        </w:rPr>
        <w:t>keine aktuelle Notlage</w:t>
      </w:r>
      <w:r w:rsidRPr="00CD109F">
        <w:rPr>
          <w:color w:val="000000"/>
          <w:szCs w:val="22"/>
          <w:highlight w:val="yellow"/>
        </w:rPr>
        <w:t xml:space="preserve"> mehr, </w:t>
      </w:r>
      <w:r w:rsidR="00BF35BF">
        <w:rPr>
          <w:color w:val="000000"/>
          <w:szCs w:val="22"/>
          <w:highlight w:val="yellow"/>
        </w:rPr>
        <w:t>weshalb</w:t>
      </w:r>
      <w:r w:rsidRPr="00CD109F">
        <w:rPr>
          <w:color w:val="000000"/>
          <w:szCs w:val="22"/>
          <w:highlight w:val="yellow"/>
        </w:rPr>
        <w:t xml:space="preserve"> grundsätzlich keine </w:t>
      </w:r>
      <w:r w:rsidR="00BF35BF">
        <w:rPr>
          <w:color w:val="000000"/>
          <w:szCs w:val="22"/>
          <w:highlight w:val="yellow"/>
        </w:rPr>
        <w:t>Leistungen</w:t>
      </w:r>
      <w:r w:rsidR="00BF35BF" w:rsidRPr="00CD109F">
        <w:rPr>
          <w:color w:val="000000"/>
          <w:szCs w:val="22"/>
          <w:highlight w:val="yellow"/>
        </w:rPr>
        <w:t xml:space="preserve"> </w:t>
      </w:r>
      <w:r w:rsidRPr="00CD109F">
        <w:rPr>
          <w:color w:val="000000"/>
          <w:szCs w:val="22"/>
          <w:highlight w:val="yellow"/>
        </w:rPr>
        <w:t>übernommen</w:t>
      </w:r>
      <w:r w:rsidR="00BF35BF">
        <w:rPr>
          <w:color w:val="000000"/>
          <w:szCs w:val="22"/>
          <w:highlight w:val="yellow"/>
        </w:rPr>
        <w:t xml:space="preserve"> werden, welche den Zeitraum nach dem Tod betreffen</w:t>
      </w:r>
      <w:r w:rsidR="009631D3">
        <w:rPr>
          <w:color w:val="000000"/>
          <w:szCs w:val="22"/>
          <w:highlight w:val="yellow"/>
        </w:rPr>
        <w:t>.</w:t>
      </w:r>
    </w:p>
    <w:p w14:paraId="293BABFB" w14:textId="2A7B98F3" w:rsidR="00F558C2" w:rsidRPr="0037553C" w:rsidRDefault="001447C8" w:rsidP="000D7E91">
      <w:pPr>
        <w:pStyle w:val="Absatz0"/>
        <w:rPr>
          <w:color w:val="000000"/>
          <w:szCs w:val="22"/>
        </w:rPr>
      </w:pPr>
      <w:r>
        <w:rPr>
          <w:color w:val="000000"/>
          <w:szCs w:val="22"/>
        </w:rPr>
        <w:br/>
      </w:r>
      <w:r w:rsidR="00F558C2" w:rsidRPr="0037553C">
        <w:rPr>
          <w:color w:val="000000"/>
          <w:szCs w:val="22"/>
        </w:rPr>
        <w:t>Folgende Leistungen können ausnahmsweise nach dem Tod übernommen werden</w:t>
      </w:r>
      <w:r w:rsidR="007D4F91" w:rsidRPr="0037553C">
        <w:rPr>
          <w:color w:val="000000"/>
          <w:szCs w:val="22"/>
        </w:rPr>
        <w:t>:</w:t>
      </w:r>
    </w:p>
    <w:p w14:paraId="293BABFC" w14:textId="77777777" w:rsidR="00921233" w:rsidRPr="0037553C" w:rsidRDefault="00921233" w:rsidP="000D7E91">
      <w:pPr>
        <w:pStyle w:val="Absatz0"/>
        <w:rPr>
          <w:b/>
          <w:szCs w:val="22"/>
        </w:rPr>
      </w:pPr>
    </w:p>
    <w:p w14:paraId="7A72DE3C" w14:textId="2394159A" w:rsidR="00CD109F" w:rsidRPr="0037553C" w:rsidRDefault="001447C8" w:rsidP="0037553C">
      <w:pPr>
        <w:pStyle w:val="Absatz0"/>
        <w:numPr>
          <w:ilvl w:val="0"/>
          <w:numId w:val="14"/>
        </w:numPr>
        <w:rPr>
          <w:color w:val="000000"/>
          <w:szCs w:val="22"/>
        </w:rPr>
      </w:pPr>
      <w:r w:rsidRPr="0037553C">
        <w:rPr>
          <w:color w:val="000000"/>
          <w:szCs w:val="22"/>
        </w:rPr>
        <w:t>O</w:t>
      </w:r>
      <w:r w:rsidR="00F558C2" w:rsidRPr="0037553C">
        <w:rPr>
          <w:color w:val="000000"/>
          <w:szCs w:val="22"/>
        </w:rPr>
        <w:t>ffene</w:t>
      </w:r>
      <w:r w:rsidRPr="0037553C">
        <w:rPr>
          <w:color w:val="000000"/>
          <w:szCs w:val="22"/>
        </w:rPr>
        <w:t xml:space="preserve"> </w:t>
      </w:r>
      <w:r w:rsidR="00F558C2" w:rsidRPr="0037553C" w:rsidDel="00BF68EC">
        <w:rPr>
          <w:color w:val="000000"/>
          <w:szCs w:val="22"/>
        </w:rPr>
        <w:t xml:space="preserve">Arzt- und Krankenkassenrechnungen, </w:t>
      </w:r>
      <w:r w:rsidR="007A09A2" w:rsidRPr="0037553C">
        <w:rPr>
          <w:color w:val="000000"/>
          <w:szCs w:val="22"/>
        </w:rPr>
        <w:t>die den</w:t>
      </w:r>
      <w:r w:rsidR="005E4A2A" w:rsidRPr="0037553C">
        <w:rPr>
          <w:color w:val="000000"/>
          <w:szCs w:val="22"/>
        </w:rPr>
        <w:t xml:space="preserve"> </w:t>
      </w:r>
      <w:r w:rsidR="00F558C2" w:rsidRPr="0037553C" w:rsidDel="00BF68EC">
        <w:rPr>
          <w:color w:val="000000"/>
          <w:szCs w:val="22"/>
        </w:rPr>
        <w:t>Unterstützungszeitraum</w:t>
      </w:r>
      <w:r w:rsidR="00CD109F" w:rsidRPr="0037553C">
        <w:rPr>
          <w:color w:val="000000"/>
          <w:szCs w:val="22"/>
        </w:rPr>
        <w:t xml:space="preserve"> </w:t>
      </w:r>
      <w:r w:rsidR="007A09A2" w:rsidRPr="0037553C">
        <w:rPr>
          <w:color w:val="000000"/>
          <w:szCs w:val="22"/>
        </w:rPr>
        <w:t>betreffen</w:t>
      </w:r>
    </w:p>
    <w:p w14:paraId="45F00C57" w14:textId="3EED2A99" w:rsidR="005175FA" w:rsidRPr="005E4A2A" w:rsidRDefault="00C43785" w:rsidP="005E4A2A">
      <w:pPr>
        <w:pStyle w:val="Absatz0"/>
        <w:numPr>
          <w:ilvl w:val="0"/>
          <w:numId w:val="14"/>
        </w:numPr>
        <w:rPr>
          <w:color w:val="000000"/>
          <w:highlight w:val="yellow"/>
        </w:rPr>
      </w:pPr>
      <w:r w:rsidRPr="005E4A2A">
        <w:rPr>
          <w:color w:val="000000"/>
          <w:highlight w:val="yellow"/>
        </w:rPr>
        <w:t>Leistungen,</w:t>
      </w:r>
      <w:r w:rsidR="009853B9" w:rsidRPr="005E4A2A">
        <w:rPr>
          <w:color w:val="000000"/>
          <w:highlight w:val="yellow"/>
        </w:rPr>
        <w:t xml:space="preserve"> für die </w:t>
      </w:r>
      <w:r w:rsidR="001C6162" w:rsidRPr="005E4A2A">
        <w:rPr>
          <w:color w:val="000000"/>
          <w:highlight w:val="yellow"/>
        </w:rPr>
        <w:t>zu</w:t>
      </w:r>
      <w:r w:rsidRPr="005E4A2A">
        <w:rPr>
          <w:color w:val="000000"/>
          <w:highlight w:val="yellow"/>
        </w:rPr>
        <w:t xml:space="preserve"> Lebzeiten</w:t>
      </w:r>
      <w:r w:rsidR="004F5FA4" w:rsidRPr="005E4A2A">
        <w:rPr>
          <w:color w:val="000000"/>
          <w:highlight w:val="yellow"/>
        </w:rPr>
        <w:t xml:space="preserve"> KL</w:t>
      </w:r>
      <w:r w:rsidR="009853B9" w:rsidRPr="005E4A2A">
        <w:rPr>
          <w:color w:val="000000"/>
          <w:highlight w:val="yellow"/>
        </w:rPr>
        <w:t xml:space="preserve"> </w:t>
      </w:r>
      <w:r w:rsidR="00917054">
        <w:rPr>
          <w:color w:val="000000"/>
          <w:highlight w:val="yellow"/>
        </w:rPr>
        <w:t xml:space="preserve">seitens SOD </w:t>
      </w:r>
      <w:r w:rsidR="005932A2" w:rsidRPr="005E4A2A">
        <w:rPr>
          <w:color w:val="000000"/>
          <w:highlight w:val="yellow"/>
        </w:rPr>
        <w:t xml:space="preserve">formell oder stillschweigend </w:t>
      </w:r>
      <w:r w:rsidR="009853B9" w:rsidRPr="005E4A2A">
        <w:rPr>
          <w:color w:val="000000"/>
          <w:highlight w:val="yellow"/>
        </w:rPr>
        <w:t>eine KOGU erteilt worden ist</w:t>
      </w:r>
      <w:r w:rsidR="004F5FA4" w:rsidRPr="005E4A2A">
        <w:rPr>
          <w:color w:val="000000"/>
          <w:highlight w:val="yellow"/>
        </w:rPr>
        <w:t xml:space="preserve">, </w:t>
      </w:r>
      <w:r w:rsidR="00594BA0">
        <w:rPr>
          <w:color w:val="000000"/>
          <w:highlight w:val="yellow"/>
        </w:rPr>
        <w:t xml:space="preserve">und </w:t>
      </w:r>
      <w:r w:rsidR="004F5FA4" w:rsidRPr="005E4A2A">
        <w:rPr>
          <w:color w:val="000000"/>
          <w:highlight w:val="yellow"/>
        </w:rPr>
        <w:t xml:space="preserve">sich die SOD vertraglich zur Übernahme </w:t>
      </w:r>
      <w:r w:rsidR="00594BA0">
        <w:rPr>
          <w:color w:val="000000"/>
          <w:highlight w:val="yellow"/>
        </w:rPr>
        <w:t xml:space="preserve">(über den Tod hinaus) </w:t>
      </w:r>
      <w:r w:rsidR="004F5FA4" w:rsidRPr="005E4A2A">
        <w:rPr>
          <w:color w:val="000000"/>
          <w:highlight w:val="yellow"/>
        </w:rPr>
        <w:t xml:space="preserve">verpflichtet </w:t>
      </w:r>
      <w:r w:rsidR="001C6162" w:rsidRPr="005E4A2A">
        <w:rPr>
          <w:color w:val="000000"/>
          <w:highlight w:val="yellow"/>
        </w:rPr>
        <w:t>haben</w:t>
      </w:r>
      <w:r w:rsidR="004F5FA4" w:rsidRPr="005E4A2A">
        <w:rPr>
          <w:color w:val="000000"/>
          <w:highlight w:val="yellow"/>
        </w:rPr>
        <w:t xml:space="preserve"> (z.B. Zahnbehandlungen</w:t>
      </w:r>
      <w:r w:rsidR="0041658F">
        <w:rPr>
          <w:color w:val="000000"/>
          <w:highlight w:val="yellow"/>
        </w:rPr>
        <w:t>;</w:t>
      </w:r>
      <w:r w:rsidR="004F5FA4" w:rsidRPr="005E4A2A">
        <w:rPr>
          <w:color w:val="000000"/>
          <w:highlight w:val="yellow"/>
        </w:rPr>
        <w:t xml:space="preserve"> Garantieerklärungen </w:t>
      </w:r>
      <w:proofErr w:type="spellStart"/>
      <w:r w:rsidR="004F5FA4" w:rsidRPr="005E4A2A">
        <w:rPr>
          <w:color w:val="000000"/>
          <w:highlight w:val="yellow"/>
        </w:rPr>
        <w:t>Vermieterschaft</w:t>
      </w:r>
      <w:proofErr w:type="spellEnd"/>
      <w:r w:rsidR="00D16832">
        <w:rPr>
          <w:color w:val="000000"/>
          <w:highlight w:val="yellow"/>
        </w:rPr>
        <w:t>;</w:t>
      </w:r>
      <w:r w:rsidR="004F5FA4" w:rsidRPr="005E4A2A">
        <w:rPr>
          <w:color w:val="000000"/>
          <w:highlight w:val="yellow"/>
        </w:rPr>
        <w:t xml:space="preserve"> offene Rechnungen SEB</w:t>
      </w:r>
      <w:r w:rsidR="00EB0033">
        <w:rPr>
          <w:color w:val="000000"/>
          <w:highlight w:val="yellow"/>
        </w:rPr>
        <w:t>,</w:t>
      </w:r>
      <w:r w:rsidR="00B74B69">
        <w:rPr>
          <w:color w:val="000000"/>
          <w:highlight w:val="yellow"/>
        </w:rPr>
        <w:t xml:space="preserve"> </w:t>
      </w:r>
      <w:r w:rsidR="00CF6C35">
        <w:rPr>
          <w:color w:val="000000"/>
          <w:highlight w:val="yellow"/>
        </w:rPr>
        <w:t xml:space="preserve">privater betreuter Wohneinrichtungen </w:t>
      </w:r>
      <w:r w:rsidR="00EB0033">
        <w:rPr>
          <w:color w:val="000000"/>
          <w:highlight w:val="yellow"/>
        </w:rPr>
        <w:t xml:space="preserve">mit Rahmenverträgen </w:t>
      </w:r>
      <w:r w:rsidR="00E568A3" w:rsidRPr="005E4A2A">
        <w:rPr>
          <w:color w:val="000000"/>
          <w:highlight w:val="yellow"/>
        </w:rPr>
        <w:t>gemäss Vereinbarungen Vertragscenter</w:t>
      </w:r>
      <w:r w:rsidR="00EB0033">
        <w:rPr>
          <w:color w:val="000000"/>
          <w:highlight w:val="yellow"/>
        </w:rPr>
        <w:t xml:space="preserve"> oder</w:t>
      </w:r>
      <w:r w:rsidR="00B74B69">
        <w:rPr>
          <w:color w:val="000000"/>
          <w:highlight w:val="yellow"/>
        </w:rPr>
        <w:t xml:space="preserve"> </w:t>
      </w:r>
      <w:r w:rsidR="009631D3">
        <w:rPr>
          <w:color w:val="000000"/>
          <w:highlight w:val="yellow"/>
        </w:rPr>
        <w:t xml:space="preserve">Heim </w:t>
      </w:r>
      <w:r w:rsidR="006D3A95">
        <w:rPr>
          <w:color w:val="000000"/>
          <w:highlight w:val="yellow"/>
        </w:rPr>
        <w:t xml:space="preserve">ohne Rahmenverträge </w:t>
      </w:r>
      <w:r w:rsidR="009631D3">
        <w:rPr>
          <w:color w:val="000000"/>
          <w:highlight w:val="yellow"/>
        </w:rPr>
        <w:t>bis zum Ablauf der Kündigungs</w:t>
      </w:r>
      <w:r w:rsidR="006D3A95">
        <w:rPr>
          <w:color w:val="000000"/>
          <w:highlight w:val="yellow"/>
        </w:rPr>
        <w:t>-</w:t>
      </w:r>
      <w:r w:rsidR="009631D3">
        <w:rPr>
          <w:color w:val="000000"/>
          <w:highlight w:val="yellow"/>
        </w:rPr>
        <w:t xml:space="preserve"> oder </w:t>
      </w:r>
      <w:proofErr w:type="spellStart"/>
      <w:r w:rsidR="009631D3">
        <w:rPr>
          <w:color w:val="000000"/>
          <w:highlight w:val="yellow"/>
        </w:rPr>
        <w:t>Anullationsfrist</w:t>
      </w:r>
      <w:proofErr w:type="spellEnd"/>
      <w:r w:rsidR="009631D3">
        <w:rPr>
          <w:color w:val="000000"/>
          <w:highlight w:val="yellow"/>
        </w:rPr>
        <w:t xml:space="preserve"> gemäss geleisteter KOGU</w:t>
      </w:r>
      <w:r w:rsidR="004F5FA4" w:rsidRPr="005E4A2A">
        <w:rPr>
          <w:color w:val="000000"/>
          <w:highlight w:val="yellow"/>
        </w:rPr>
        <w:t>)</w:t>
      </w:r>
    </w:p>
    <w:p w14:paraId="293BAC01" w14:textId="77777777" w:rsidR="00395EB2" w:rsidRPr="008B3194" w:rsidRDefault="00395EB2">
      <w:pPr>
        <w:pStyle w:val="Absatz0"/>
      </w:pPr>
    </w:p>
    <w:p w14:paraId="293BAC02" w14:textId="77777777" w:rsidR="000D7E91" w:rsidRDefault="000D7E91">
      <w:pPr>
        <w:pStyle w:val="Absatz0"/>
        <w:rPr>
          <w:b/>
        </w:rPr>
      </w:pPr>
      <w:r w:rsidRPr="008B3194">
        <w:rPr>
          <w:b/>
        </w:rPr>
        <w:t>Rückforderungen gegenüber dem Nachlass</w:t>
      </w:r>
    </w:p>
    <w:p w14:paraId="293BAC03" w14:textId="77777777" w:rsidR="00644F77" w:rsidRPr="00644F77" w:rsidRDefault="00644F77">
      <w:pPr>
        <w:pStyle w:val="Absatz0"/>
        <w:rPr>
          <w:b/>
          <w:sz w:val="8"/>
          <w:szCs w:val="8"/>
        </w:rPr>
      </w:pPr>
    </w:p>
    <w:p w14:paraId="293BAC04" w14:textId="407B76C9" w:rsidR="000D7E91" w:rsidRPr="008B3194" w:rsidRDefault="000D7E91">
      <w:pPr>
        <w:pStyle w:val="Absatz0"/>
      </w:pPr>
      <w:r w:rsidRPr="008B3194">
        <w:t xml:space="preserve">Beim Tod von </w:t>
      </w:r>
      <w:r w:rsidR="005932A2">
        <w:t>KL</w:t>
      </w:r>
      <w:r w:rsidR="00D66C2A">
        <w:t xml:space="preserve"> </w:t>
      </w:r>
      <w:r w:rsidRPr="008B3194">
        <w:t>entsteht gegenüber dem Nachlass ein Anspruch auf Rückerstattung der</w:t>
      </w:r>
      <w:r w:rsidR="00632128">
        <w:t xml:space="preserve"> WH</w:t>
      </w:r>
      <w:r w:rsidRPr="008B3194">
        <w:t>, welche innert der letzten 15 Jahre vor dem Tod bezogen wurde (§§ 28 und 30 SHG).</w:t>
      </w:r>
      <w:r w:rsidR="00B05EC5" w:rsidRPr="008B3194">
        <w:t xml:space="preserve"> </w:t>
      </w:r>
      <w:r w:rsidRPr="008B3194">
        <w:t xml:space="preserve">Jeder Todesfall muss </w:t>
      </w:r>
      <w:r w:rsidR="00B05EC5" w:rsidRPr="008B3194">
        <w:t xml:space="preserve">daher </w:t>
      </w:r>
      <w:r w:rsidRPr="008B3194">
        <w:t>der Zentrale</w:t>
      </w:r>
      <w:r w:rsidR="00A16C84">
        <w:t>n</w:t>
      </w:r>
      <w:r w:rsidRPr="008B3194">
        <w:t xml:space="preserve"> Rückerstattung (ZR) sofort nach Bekanntwerden gemeldet werden. Die ZR prüft die notwendigen Ma</w:t>
      </w:r>
      <w:r w:rsidR="00265027">
        <w:t>s</w:t>
      </w:r>
      <w:r w:rsidRPr="008B3194">
        <w:t xml:space="preserve">snahmen bezüglich einer allfälligen </w:t>
      </w:r>
      <w:r w:rsidR="005932A2" w:rsidRPr="008B3194">
        <w:t>Rück</w:t>
      </w:r>
      <w:r w:rsidR="005932A2">
        <w:t>forderung</w:t>
      </w:r>
      <w:r w:rsidR="005932A2" w:rsidRPr="008B3194">
        <w:t xml:space="preserve"> </w:t>
      </w:r>
      <w:r w:rsidRPr="008B3194">
        <w:t xml:space="preserve">(vgl. auch </w:t>
      </w:r>
      <w:hyperlink r:id="rId20" w:history="1">
        <w:r w:rsidRPr="00A64D3A">
          <w:rPr>
            <w:rStyle w:val="Hyperlink"/>
          </w:rPr>
          <w:t>die Informationen der ZR im Intra</w:t>
        </w:r>
        <w:r w:rsidR="00265027" w:rsidRPr="00A64D3A">
          <w:rPr>
            <w:rStyle w:val="Hyperlink"/>
          </w:rPr>
          <w:t>net</w:t>
        </w:r>
        <w:r w:rsidRPr="00A64D3A">
          <w:rPr>
            <w:rStyle w:val="Hyperlink"/>
          </w:rPr>
          <w:t>)</w:t>
        </w:r>
      </w:hyperlink>
      <w:r w:rsidRPr="008B3194">
        <w:t xml:space="preserve"> und kann bei Unklarheiten zur Unterstützung beigezogen werden. </w:t>
      </w:r>
    </w:p>
    <w:p w14:paraId="293BAC05" w14:textId="12297F96" w:rsidR="00DF4FBA" w:rsidRPr="008B3194" w:rsidRDefault="002269DE" w:rsidP="00DF4FBA">
      <w:pPr>
        <w:pStyle w:val="berschrift1"/>
      </w:pPr>
      <w:r w:rsidRPr="008B3194">
        <w:t xml:space="preserve">Aufgaben der </w:t>
      </w:r>
      <w:r w:rsidR="00D9388D">
        <w:t>Erb*i</w:t>
      </w:r>
      <w:r w:rsidR="00A16C84">
        <w:t>nnen</w:t>
      </w:r>
    </w:p>
    <w:p w14:paraId="293BAC06" w14:textId="6CC072A2" w:rsidR="00BF68EC" w:rsidRPr="0037553C" w:rsidRDefault="00BF68EC" w:rsidP="00BF68EC">
      <w:pPr>
        <w:pStyle w:val="Absatz0"/>
        <w:spacing w:before="240"/>
        <w:rPr>
          <w:color w:val="000000"/>
          <w:highlight w:val="yellow"/>
        </w:rPr>
      </w:pPr>
      <w:r w:rsidRPr="008B3194">
        <w:rPr>
          <w:color w:val="000000"/>
        </w:rPr>
        <w:t xml:space="preserve">Es ist Aufgabe der </w:t>
      </w:r>
      <w:r w:rsidR="00D9388D">
        <w:t>Erb*i</w:t>
      </w:r>
      <w:r w:rsidR="00A16C84">
        <w:t>nnen</w:t>
      </w:r>
      <w:r w:rsidRPr="008B3194">
        <w:t xml:space="preserve">, </w:t>
      </w:r>
      <w:r w:rsidRPr="008B3194">
        <w:rPr>
          <w:color w:val="000000"/>
        </w:rPr>
        <w:t>den Nachlass zu verwalten und die offenen Rechnungen zu bezahlen bzw. Rückforderungen (Mietzinsdepot, Leistungen von AZL und Krankenkasse etc.) einzuleiten, wenn keine Abtretungen an die SOD vorliegen.</w:t>
      </w:r>
      <w:r w:rsidR="00E82CC4">
        <w:rPr>
          <w:color w:val="000000"/>
        </w:rPr>
        <w:t xml:space="preserve"> </w:t>
      </w:r>
      <w:r w:rsidR="00F435AC" w:rsidRPr="005E4A2A">
        <w:rPr>
          <w:color w:val="000000"/>
          <w:highlight w:val="yellow"/>
        </w:rPr>
        <w:t xml:space="preserve">Liegt eine </w:t>
      </w:r>
      <w:r w:rsidR="00A64D3A" w:rsidRPr="005E4A2A">
        <w:rPr>
          <w:color w:val="000000"/>
          <w:highlight w:val="yellow"/>
        </w:rPr>
        <w:t>Abtretung</w:t>
      </w:r>
      <w:r w:rsidR="00F435AC" w:rsidRPr="005E4A2A">
        <w:rPr>
          <w:color w:val="000000"/>
          <w:highlight w:val="yellow"/>
        </w:rPr>
        <w:t xml:space="preserve"> vor, so ist es Aufgabe der Fallführung</w:t>
      </w:r>
      <w:r w:rsidR="00A64D3A" w:rsidRPr="005E4A2A">
        <w:rPr>
          <w:color w:val="000000"/>
          <w:highlight w:val="yellow"/>
        </w:rPr>
        <w:t xml:space="preserve"> allfällige</w:t>
      </w:r>
      <w:r w:rsidR="00F435AC" w:rsidRPr="005E4A2A">
        <w:rPr>
          <w:color w:val="000000"/>
          <w:highlight w:val="yellow"/>
        </w:rPr>
        <w:t xml:space="preserve"> Rückforderungen einzuleiten.</w:t>
      </w:r>
    </w:p>
    <w:p w14:paraId="293BAC07" w14:textId="77777777" w:rsidR="00BF68EC" w:rsidRPr="008B3194" w:rsidRDefault="00BF68EC" w:rsidP="00BF68EC">
      <w:pPr>
        <w:pStyle w:val="Absatz0"/>
        <w:rPr>
          <w:rFonts w:eastAsia="Arial Unicode MS"/>
        </w:rPr>
      </w:pPr>
    </w:p>
    <w:p w14:paraId="293BAC08" w14:textId="7DC7BE91" w:rsidR="00B05EC5" w:rsidRPr="008B3194" w:rsidRDefault="00BF68EC" w:rsidP="00B05EC5">
      <w:pPr>
        <w:pStyle w:val="Absatz0"/>
        <w:rPr>
          <w:rFonts w:eastAsia="Arial Unicode MS"/>
        </w:rPr>
      </w:pPr>
      <w:r w:rsidRPr="008B3194">
        <w:rPr>
          <w:rFonts w:eastAsia="Arial Unicode MS"/>
        </w:rPr>
        <w:t xml:space="preserve">Die Regelung der Steuerangelegenheiten ist ebenfalls Sache der </w:t>
      </w:r>
      <w:r w:rsidR="00D9388D">
        <w:t>Erb*i</w:t>
      </w:r>
      <w:r w:rsidR="00A16C84">
        <w:t>nnen</w:t>
      </w:r>
      <w:r w:rsidRPr="008B3194">
        <w:t xml:space="preserve">. </w:t>
      </w:r>
      <w:r w:rsidRPr="008B3194">
        <w:rPr>
          <w:rFonts w:eastAsia="Arial Unicode MS"/>
        </w:rPr>
        <w:t xml:space="preserve">Die nötigen Unterlagen </w:t>
      </w:r>
      <w:r w:rsidR="00480E21" w:rsidRPr="008B3194">
        <w:rPr>
          <w:rFonts w:eastAsia="Arial Unicode MS"/>
        </w:rPr>
        <w:t>dürfen</w:t>
      </w:r>
      <w:r w:rsidRPr="008B3194">
        <w:rPr>
          <w:rFonts w:eastAsia="Arial Unicode MS"/>
        </w:rPr>
        <w:t xml:space="preserve"> soweit vorhanden zur Verfügung </w:t>
      </w:r>
      <w:r w:rsidR="00480E21" w:rsidRPr="008B3194">
        <w:rPr>
          <w:rFonts w:eastAsia="Arial Unicode MS"/>
        </w:rPr>
        <w:t>gestellt werden</w:t>
      </w:r>
      <w:r w:rsidRPr="008B3194">
        <w:rPr>
          <w:rFonts w:eastAsia="Arial Unicode MS"/>
        </w:rPr>
        <w:t xml:space="preserve">. Bei Anfragen durch das Steueramt dürfen die </w:t>
      </w:r>
      <w:r w:rsidR="00D9388D">
        <w:t>Erb*i</w:t>
      </w:r>
      <w:r w:rsidR="00A16C84">
        <w:t>nnen</w:t>
      </w:r>
      <w:r w:rsidRPr="008B3194">
        <w:rPr>
          <w:rFonts w:eastAsia="Arial Unicode MS"/>
        </w:rPr>
        <w:t xml:space="preserve"> oder Willensvollstreckenden bekannt gegeben werden.</w:t>
      </w:r>
    </w:p>
    <w:p w14:paraId="293BAC09" w14:textId="77777777" w:rsidR="00B05EC5" w:rsidRPr="008B3194" w:rsidRDefault="00B05EC5" w:rsidP="00265027">
      <w:pPr>
        <w:pStyle w:val="berschrift1"/>
        <w:ind w:left="431" w:hanging="431"/>
      </w:pPr>
      <w:r w:rsidRPr="008B3194">
        <w:t>Räumung der Wohnung</w:t>
      </w:r>
    </w:p>
    <w:p w14:paraId="293BAC0A" w14:textId="645D74E5" w:rsidR="00BF68EC" w:rsidRPr="008B3194" w:rsidRDefault="00BF68EC" w:rsidP="00BF68EC">
      <w:pPr>
        <w:spacing w:before="240"/>
        <w:rPr>
          <w:color w:val="000000"/>
        </w:rPr>
      </w:pPr>
      <w:r w:rsidRPr="008B3194">
        <w:rPr>
          <w:color w:val="000000"/>
        </w:rPr>
        <w:t xml:space="preserve">Die Räumung der Wohnung ist Sache der </w:t>
      </w:r>
      <w:r w:rsidR="00A16C84">
        <w:t>Erb*</w:t>
      </w:r>
      <w:r w:rsidR="00632128">
        <w:t>i</w:t>
      </w:r>
      <w:r w:rsidR="00A16C84">
        <w:t>nnen</w:t>
      </w:r>
      <w:r w:rsidRPr="008B3194">
        <w:t xml:space="preserve"> </w:t>
      </w:r>
      <w:r w:rsidRPr="008B3194">
        <w:rPr>
          <w:color w:val="000000"/>
        </w:rPr>
        <w:t xml:space="preserve">oder der </w:t>
      </w:r>
      <w:proofErr w:type="spellStart"/>
      <w:r w:rsidRPr="008B3194">
        <w:rPr>
          <w:color w:val="000000"/>
        </w:rPr>
        <w:t>Vermieterschaft</w:t>
      </w:r>
      <w:proofErr w:type="spellEnd"/>
      <w:r w:rsidRPr="008B3194">
        <w:rPr>
          <w:color w:val="000000"/>
        </w:rPr>
        <w:t xml:space="preserve">. Die Fallführenden dürfen diesbezüglich nichts mehr unternehmen und ausser ausgewiesenen Forderungen aus Garantieerklärungen auch keine entstehenden Kosten mehr decken. </w:t>
      </w:r>
      <w:r w:rsidR="00A16C84" w:rsidRPr="005E4A2A">
        <w:rPr>
          <w:color w:val="000000"/>
          <w:highlight w:val="yellow"/>
        </w:rPr>
        <w:t>(</w:t>
      </w:r>
      <w:r w:rsidR="00FC1799">
        <w:rPr>
          <w:color w:val="000000"/>
          <w:highlight w:val="yellow"/>
        </w:rPr>
        <w:t xml:space="preserve">Ausnahmen </w:t>
      </w:r>
      <w:r w:rsidR="00A16C84" w:rsidRPr="005E4A2A">
        <w:rPr>
          <w:color w:val="000000"/>
          <w:highlight w:val="yellow"/>
        </w:rPr>
        <w:t xml:space="preserve">vgl. Ziffer 2 "Ausgaben, welche </w:t>
      </w:r>
      <w:r w:rsidR="005E4A2A" w:rsidRPr="005E4A2A">
        <w:rPr>
          <w:color w:val="000000"/>
          <w:highlight w:val="yellow"/>
        </w:rPr>
        <w:t xml:space="preserve">auch </w:t>
      </w:r>
      <w:r w:rsidR="00A16C84" w:rsidRPr="005E4A2A">
        <w:rPr>
          <w:color w:val="000000"/>
          <w:highlight w:val="yellow"/>
        </w:rPr>
        <w:t>nach dem Tod von den SOD übernommen werden")</w:t>
      </w:r>
      <w:r w:rsidR="001E4407" w:rsidRPr="005E4A2A">
        <w:rPr>
          <w:color w:val="000000"/>
          <w:highlight w:val="yellow"/>
        </w:rPr>
        <w:t>.</w:t>
      </w:r>
    </w:p>
    <w:p w14:paraId="293BAC0B" w14:textId="77777777" w:rsidR="00BF68EC" w:rsidRPr="008B3194" w:rsidRDefault="00BF68EC" w:rsidP="00BF68EC">
      <w:pPr>
        <w:pStyle w:val="Absatz0"/>
        <w:rPr>
          <w:color w:val="000000"/>
        </w:rPr>
      </w:pPr>
    </w:p>
    <w:p w14:paraId="293BAC0C" w14:textId="6D346B0F" w:rsidR="00BF68EC" w:rsidRPr="008B3194" w:rsidRDefault="00BF68EC" w:rsidP="00BF68EC">
      <w:pPr>
        <w:pStyle w:val="Absatz0"/>
        <w:rPr>
          <w:iCs/>
          <w:color w:val="000000"/>
        </w:rPr>
      </w:pPr>
      <w:r w:rsidRPr="008B3194">
        <w:rPr>
          <w:iCs/>
          <w:color w:val="000000"/>
        </w:rPr>
        <w:t xml:space="preserve">Sind keine </w:t>
      </w:r>
      <w:r w:rsidR="00D9388D">
        <w:rPr>
          <w:iCs/>
        </w:rPr>
        <w:t>Erb*i</w:t>
      </w:r>
      <w:r w:rsidR="00A16C84">
        <w:rPr>
          <w:iCs/>
        </w:rPr>
        <w:t>nnen</w:t>
      </w:r>
      <w:r w:rsidRPr="008B3194">
        <w:rPr>
          <w:iCs/>
          <w:color w:val="000000"/>
        </w:rPr>
        <w:t xml:space="preserve"> bekannt oder in der Lage zu handeln, kann im Sinne der guten Zusammenarbeit mit </w:t>
      </w:r>
      <w:proofErr w:type="spellStart"/>
      <w:r w:rsidR="00D66C2A">
        <w:rPr>
          <w:iCs/>
          <w:color w:val="000000"/>
        </w:rPr>
        <w:t>Vermieterschaft</w:t>
      </w:r>
      <w:proofErr w:type="spellEnd"/>
      <w:r w:rsidRPr="008B3194">
        <w:rPr>
          <w:iCs/>
          <w:color w:val="000000"/>
        </w:rPr>
        <w:t xml:space="preserve"> </w:t>
      </w:r>
      <w:r w:rsidR="00D25AD6">
        <w:rPr>
          <w:iCs/>
          <w:color w:val="000000"/>
        </w:rPr>
        <w:t>oder</w:t>
      </w:r>
      <w:r w:rsidRPr="008B3194">
        <w:rPr>
          <w:iCs/>
          <w:color w:val="000000"/>
        </w:rPr>
        <w:t xml:space="preserve"> Heimen eine Beratung und Mithilfe bei der Wohnungs</w:t>
      </w:r>
      <w:r w:rsidR="007C140E">
        <w:rPr>
          <w:iCs/>
          <w:color w:val="000000"/>
        </w:rPr>
        <w:t>-/Zimmer</w:t>
      </w:r>
      <w:r w:rsidRPr="008B3194">
        <w:rPr>
          <w:iCs/>
          <w:color w:val="000000"/>
        </w:rPr>
        <w:t xml:space="preserve">räumung sinnvoll sein (z.B. falls bekannt mitteilen, </w:t>
      </w:r>
      <w:r w:rsidR="001E55E9">
        <w:rPr>
          <w:iCs/>
          <w:color w:val="000000"/>
        </w:rPr>
        <w:t>wie an den Wohnungsschlüssel gelangt werden kann</w:t>
      </w:r>
      <w:r w:rsidRPr="008B3194">
        <w:rPr>
          <w:iCs/>
          <w:color w:val="000000"/>
        </w:rPr>
        <w:t>). Gegenstände mit materiellem oder immateriellem Wert (z.B. Erinnerungsstücke oder Gegenstände mit religiösem Wert) sollten sichergestellt werden. Die ZR kann bei diesen Fragestellungen beigezogen werden.</w:t>
      </w:r>
    </w:p>
    <w:p w14:paraId="293BAC0D" w14:textId="77777777" w:rsidR="00BF68EC" w:rsidRPr="008B3194" w:rsidRDefault="00BF68EC" w:rsidP="00BF68EC">
      <w:pPr>
        <w:pStyle w:val="Absatz0"/>
        <w:rPr>
          <w:iCs/>
          <w:color w:val="000000"/>
        </w:rPr>
      </w:pPr>
    </w:p>
    <w:p w14:paraId="293BAC0E" w14:textId="6BC5D534" w:rsidR="00BF68EC" w:rsidRPr="008B3194" w:rsidRDefault="00BF68EC" w:rsidP="00BF68EC">
      <w:pPr>
        <w:pStyle w:val="Absatz0"/>
      </w:pPr>
      <w:r w:rsidRPr="008B3194">
        <w:rPr>
          <w:color w:val="000000"/>
        </w:rPr>
        <w:t>Ein Auftrag an den Magazindienst SEB oder</w:t>
      </w:r>
      <w:r w:rsidR="00D25AD6">
        <w:rPr>
          <w:color w:val="000000"/>
        </w:rPr>
        <w:t xml:space="preserve"> eine</w:t>
      </w:r>
      <w:r w:rsidRPr="008B3194">
        <w:rPr>
          <w:color w:val="000000"/>
        </w:rPr>
        <w:t xml:space="preserve"> andere Lagerfirmen zur Wohnungsräumung und Mobiliareinlagerung wird im Rahmen eines durch die </w:t>
      </w:r>
      <w:proofErr w:type="spellStart"/>
      <w:r w:rsidRPr="008B3194">
        <w:rPr>
          <w:color w:val="000000"/>
        </w:rPr>
        <w:t>Vermieterschaft</w:t>
      </w:r>
      <w:proofErr w:type="spellEnd"/>
      <w:r w:rsidRPr="008B3194">
        <w:rPr>
          <w:color w:val="000000"/>
        </w:rPr>
        <w:t xml:space="preserve"> beim Bezirksgericht erlangten Exmissionsbefehls </w:t>
      </w:r>
      <w:r w:rsidR="0097256A">
        <w:rPr>
          <w:color w:val="000000"/>
        </w:rPr>
        <w:t xml:space="preserve">bei Bedarf </w:t>
      </w:r>
      <w:r w:rsidR="0097256A" w:rsidRPr="008B3194">
        <w:rPr>
          <w:color w:val="000000"/>
        </w:rPr>
        <w:t xml:space="preserve">durch den zuständigen </w:t>
      </w:r>
      <w:proofErr w:type="spellStart"/>
      <w:r w:rsidR="0097256A" w:rsidRPr="008B3194">
        <w:rPr>
          <w:color w:val="000000"/>
        </w:rPr>
        <w:t>Stadtammann</w:t>
      </w:r>
      <w:proofErr w:type="spellEnd"/>
      <w:r w:rsidR="0097256A" w:rsidRPr="008B3194">
        <w:rPr>
          <w:color w:val="000000"/>
        </w:rPr>
        <w:t xml:space="preserve"> </w:t>
      </w:r>
      <w:r w:rsidRPr="008B3194">
        <w:rPr>
          <w:color w:val="000000"/>
        </w:rPr>
        <w:t>erteilt</w:t>
      </w:r>
      <w:r w:rsidR="00A971CD">
        <w:rPr>
          <w:color w:val="000000"/>
        </w:rPr>
        <w:t>.</w:t>
      </w:r>
      <w:r w:rsidRPr="008B3194">
        <w:rPr>
          <w:color w:val="000000"/>
        </w:rPr>
        <w:t xml:space="preserve"> </w:t>
      </w:r>
    </w:p>
    <w:p w14:paraId="293BAC0F" w14:textId="77777777" w:rsidR="00B05EC5" w:rsidRPr="008B3194" w:rsidRDefault="00B05EC5" w:rsidP="00265027">
      <w:pPr>
        <w:pStyle w:val="berschrift1"/>
        <w:ind w:left="431" w:hanging="431"/>
      </w:pPr>
      <w:r w:rsidRPr="008B3194">
        <w:lastRenderedPageBreak/>
        <w:t>Bestattung</w:t>
      </w:r>
    </w:p>
    <w:p w14:paraId="293BAC10" w14:textId="03FCF29B" w:rsidR="00CC473F" w:rsidRPr="008B3194" w:rsidRDefault="00534BC2" w:rsidP="00765C64">
      <w:pPr>
        <w:pStyle w:val="Absatz0"/>
      </w:pPr>
      <w:r w:rsidRPr="008B3194">
        <w:t>Die Bestattung in der Stadt Zürich ist kostenlos (Überführung innerhalb der Stadt, Sarg, Kre</w:t>
      </w:r>
      <w:r w:rsidR="005F3DCE" w:rsidRPr="008B3194">
        <w:softHyphen/>
      </w:r>
      <w:r w:rsidRPr="008B3194">
        <w:t xml:space="preserve">mation, Urne und Grabplatz). Bei Mittellosigkeit </w:t>
      </w:r>
      <w:r w:rsidR="006D6CB0" w:rsidRPr="008B3194">
        <w:t>erfolgen</w:t>
      </w:r>
      <w:r w:rsidRPr="008B3194">
        <w:t xml:space="preserve"> eine einfache Erd- oder Feuerbe</w:t>
      </w:r>
      <w:r w:rsidR="005F3DCE" w:rsidRPr="008B3194">
        <w:softHyphen/>
      </w:r>
      <w:r w:rsidRPr="008B3194">
        <w:t>stattung sowie eine allfällige einfache Grabpflege zulasten der Stadt. Die Organisation der Bestattung ist grundsätzlich Sache der Angehörigen</w:t>
      </w:r>
      <w:r w:rsidR="009961E4" w:rsidRPr="008B3194">
        <w:t xml:space="preserve"> </w:t>
      </w:r>
      <w:r w:rsidR="00EE5DD8" w:rsidRPr="008B3194">
        <w:t>(</w:t>
      </w:r>
      <w:r w:rsidR="00A952DB" w:rsidRPr="008B3194">
        <w:t>die allgemeinen Hinweise der</w:t>
      </w:r>
      <w:r w:rsidR="009961E4" w:rsidRPr="008B3194">
        <w:t xml:space="preserve"> PRA </w:t>
      </w:r>
      <w:hyperlink r:id="rId21" w:history="1">
        <w:r w:rsidR="009961E4" w:rsidRPr="008B3194">
          <w:rPr>
            <w:rStyle w:val="Hyperlink"/>
          </w:rPr>
          <w:t>Bestattung</w:t>
        </w:r>
      </w:hyperlink>
      <w:r w:rsidR="00A952DB" w:rsidRPr="008B3194">
        <w:t xml:space="preserve"> gelten auch für Fälle ausserhalb des</w:t>
      </w:r>
      <w:r w:rsidR="00903ADC">
        <w:t xml:space="preserve"> Kindes- und Erwachsenenschutzrechts</w:t>
      </w:r>
      <w:r w:rsidR="0081702F">
        <w:t>).</w:t>
      </w:r>
      <w:r w:rsidR="00A952DB" w:rsidRPr="008B3194">
        <w:t xml:space="preserve"> </w:t>
      </w:r>
    </w:p>
    <w:p w14:paraId="293BAC11" w14:textId="77777777" w:rsidR="00765C64" w:rsidRPr="008B3194" w:rsidRDefault="00765C64" w:rsidP="00265027">
      <w:pPr>
        <w:pStyle w:val="berschrift1"/>
        <w:ind w:left="431" w:hanging="431"/>
      </w:pPr>
      <w:r w:rsidRPr="008B3194">
        <w:t>Fallabschluss</w:t>
      </w:r>
    </w:p>
    <w:p w14:paraId="293BAC12" w14:textId="72C190E7" w:rsidR="00765C64" w:rsidRPr="008B3194" w:rsidRDefault="00765C64">
      <w:pPr>
        <w:pStyle w:val="Absatz0"/>
      </w:pPr>
      <w:r w:rsidRPr="008B3194">
        <w:t xml:space="preserve">Es gelten die üblichen Bestimmungen und Verfahrensweisen beim Fallabschluss. Falls es angezeigt </w:t>
      </w:r>
      <w:r w:rsidR="005A43BE" w:rsidRPr="008B3194">
        <w:t xml:space="preserve">ist </w:t>
      </w:r>
      <w:r w:rsidRPr="008B3194">
        <w:t xml:space="preserve">oder seitens </w:t>
      </w:r>
      <w:r w:rsidR="00C17FB5" w:rsidRPr="008B3194">
        <w:t>der</w:t>
      </w:r>
      <w:r w:rsidRPr="008B3194">
        <w:t xml:space="preserve"> </w:t>
      </w:r>
      <w:r w:rsidR="00D9388D">
        <w:t>Erb*i</w:t>
      </w:r>
      <w:r w:rsidR="006B4627">
        <w:t>nnen</w:t>
      </w:r>
      <w:r w:rsidR="005A43BE" w:rsidRPr="008B3194">
        <w:t xml:space="preserve"> ge</w:t>
      </w:r>
      <w:r w:rsidRPr="008B3194">
        <w:t xml:space="preserve">wünscht </w:t>
      </w:r>
      <w:r w:rsidR="005A43BE" w:rsidRPr="008B3194">
        <w:t xml:space="preserve">wird, </w:t>
      </w:r>
      <w:r w:rsidRPr="008B3194">
        <w:t xml:space="preserve">muss eine </w:t>
      </w:r>
      <w:proofErr w:type="spellStart"/>
      <w:r w:rsidRPr="008B3194">
        <w:t>Klientenkontoabrechnung</w:t>
      </w:r>
      <w:proofErr w:type="spellEnd"/>
      <w:r w:rsidR="00A55150" w:rsidRPr="008B3194">
        <w:t xml:space="preserve"> (KKA)</w:t>
      </w:r>
      <w:r w:rsidRPr="008B3194">
        <w:t xml:space="preserve"> erstellt werden.</w:t>
      </w:r>
      <w:r w:rsidR="00A55150" w:rsidRPr="008B3194">
        <w:t xml:space="preserve"> </w:t>
      </w:r>
      <w:r w:rsidR="005614AA" w:rsidRPr="008B3194">
        <w:t xml:space="preserve">Beanspruchen die SOD den Überschuss oder andere Vermögenswerte aus dem Nachlass, so </w:t>
      </w:r>
      <w:r w:rsidR="002773AC" w:rsidRPr="008B3194">
        <w:t>ist</w:t>
      </w:r>
      <w:r w:rsidR="005614AA" w:rsidRPr="008B3194">
        <w:t xml:space="preserve"> die ZR </w:t>
      </w:r>
      <w:r w:rsidR="002773AC" w:rsidRPr="008B3194">
        <w:t>zu informieren</w:t>
      </w:r>
      <w:r w:rsidR="005614AA" w:rsidRPr="008B3194">
        <w:t>.</w:t>
      </w:r>
    </w:p>
    <w:sectPr w:rsidR="00765C64" w:rsidRPr="008B3194" w:rsidSect="003415A9"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BAC17" w14:textId="77777777" w:rsidR="00783489" w:rsidRDefault="00783489">
      <w:r>
        <w:separator/>
      </w:r>
    </w:p>
    <w:p w14:paraId="293BAC18" w14:textId="77777777" w:rsidR="00783489" w:rsidRDefault="00783489"/>
  </w:endnote>
  <w:endnote w:type="continuationSeparator" w:id="0">
    <w:p w14:paraId="293BAC19" w14:textId="77777777" w:rsidR="00783489" w:rsidRDefault="00783489">
      <w:r>
        <w:continuationSeparator/>
      </w:r>
    </w:p>
    <w:p w14:paraId="293BAC1A" w14:textId="77777777" w:rsidR="00783489" w:rsidRDefault="00783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129A1" w14:paraId="293BAC29" w14:textId="77777777">
      <w:trPr>
        <w:trHeight w:val="284"/>
      </w:trPr>
      <w:tc>
        <w:tcPr>
          <w:tcW w:w="5063" w:type="dxa"/>
        </w:tcPr>
        <w:p w14:paraId="293BAC26" w14:textId="77777777" w:rsidR="002129A1" w:rsidRDefault="009A7032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PRA Todesfall WSH</w:t>
          </w:r>
        </w:p>
      </w:tc>
      <w:tc>
        <w:tcPr>
          <w:tcW w:w="1430" w:type="dxa"/>
        </w:tcPr>
        <w:p w14:paraId="293BAC27" w14:textId="77777777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293BAC28" w14:textId="77777777" w:rsidR="002129A1" w:rsidRDefault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293BAC2A" w14:textId="77777777" w:rsidR="002129A1" w:rsidRDefault="002129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129A1" w14:paraId="293BAC35" w14:textId="77777777">
      <w:trPr>
        <w:trHeight w:val="284"/>
      </w:trPr>
      <w:tc>
        <w:tcPr>
          <w:tcW w:w="5063" w:type="dxa"/>
        </w:tcPr>
        <w:p w14:paraId="293BAC32" w14:textId="61D4D42A" w:rsidR="002129A1" w:rsidRDefault="001F796D" w:rsidP="00AD6D6A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 xml:space="preserve">PRA </w:t>
          </w:r>
          <w:r w:rsidR="009A7032">
            <w:rPr>
              <w:sz w:val="17"/>
            </w:rPr>
            <w:t>Todesfall</w:t>
          </w:r>
          <w:r>
            <w:rPr>
              <w:sz w:val="17"/>
            </w:rPr>
            <w:t xml:space="preserve"> </w:t>
          </w:r>
          <w:r w:rsidR="00AD6D6A">
            <w:rPr>
              <w:sz w:val="17"/>
            </w:rPr>
            <w:t xml:space="preserve"> WH</w:t>
          </w:r>
        </w:p>
      </w:tc>
      <w:tc>
        <w:tcPr>
          <w:tcW w:w="1430" w:type="dxa"/>
        </w:tcPr>
        <w:p w14:paraId="293BAC33" w14:textId="7FC852CE" w:rsidR="002129A1" w:rsidRDefault="002129A1" w:rsidP="006D6CB0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 xml:space="preserve">Version </w:t>
          </w:r>
          <w:r w:rsidR="008F13E6">
            <w:rPr>
              <w:sz w:val="17"/>
            </w:rPr>
            <w:t>2</w:t>
          </w:r>
          <w:r w:rsidR="006D6CB0">
            <w:rPr>
              <w:sz w:val="17"/>
            </w:rPr>
            <w:t>.</w:t>
          </w:r>
          <w:r w:rsidR="00632128">
            <w:rPr>
              <w:sz w:val="17"/>
            </w:rPr>
            <w:t>1</w:t>
          </w:r>
        </w:p>
      </w:tc>
      <w:tc>
        <w:tcPr>
          <w:tcW w:w="2640" w:type="dxa"/>
        </w:tcPr>
        <w:p w14:paraId="293BAC34" w14:textId="7CBDEE3E" w:rsidR="002129A1" w:rsidRDefault="002129A1" w:rsidP="008F13E6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Verfasser:</w:t>
          </w:r>
          <w:r w:rsidR="001F796D">
            <w:rPr>
              <w:sz w:val="17"/>
              <w:lang w:val="de-DE"/>
            </w:rPr>
            <w:t xml:space="preserve"> F</w:t>
          </w:r>
          <w:r w:rsidR="008F13E6">
            <w:rPr>
              <w:sz w:val="17"/>
              <w:lang w:val="de-DE"/>
            </w:rPr>
            <w:t>S</w:t>
          </w:r>
          <w:r w:rsidR="001F796D">
            <w:rPr>
              <w:sz w:val="17"/>
              <w:lang w:val="de-DE"/>
            </w:rPr>
            <w:t xml:space="preserve"> WH</w:t>
          </w:r>
          <w:r w:rsidR="005357E0">
            <w:rPr>
              <w:sz w:val="17"/>
              <w:lang w:val="de-DE"/>
            </w:rPr>
            <w:t xml:space="preserve"> </w:t>
          </w:r>
        </w:p>
      </w:tc>
    </w:tr>
    <w:tr w:rsidR="00B67C02" w14:paraId="293BAC37" w14:textId="77777777" w:rsidTr="00801A1E">
      <w:trPr>
        <w:trHeight w:val="284"/>
      </w:trPr>
      <w:tc>
        <w:tcPr>
          <w:tcW w:w="9133" w:type="dxa"/>
          <w:gridSpan w:val="3"/>
        </w:tcPr>
        <w:p w14:paraId="293BAC36" w14:textId="77777777" w:rsidR="00B67C02" w:rsidRDefault="00B67C02" w:rsidP="00B67C02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293BAC38" w14:textId="77777777" w:rsidR="002129A1" w:rsidRDefault="002129A1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BAC13" w14:textId="77777777" w:rsidR="00783489" w:rsidRDefault="00783489">
      <w:r>
        <w:separator/>
      </w:r>
    </w:p>
    <w:p w14:paraId="293BAC14" w14:textId="77777777" w:rsidR="00783489" w:rsidRDefault="00783489"/>
  </w:footnote>
  <w:footnote w:type="continuationSeparator" w:id="0">
    <w:p w14:paraId="293BAC15" w14:textId="77777777" w:rsidR="00783489" w:rsidRDefault="00783489">
      <w:r>
        <w:continuationSeparator/>
      </w:r>
    </w:p>
    <w:p w14:paraId="293BAC16" w14:textId="77777777" w:rsidR="00783489" w:rsidRDefault="007834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2129A1" w14:paraId="293BAC1F" w14:textId="77777777">
      <w:tc>
        <w:tcPr>
          <w:tcW w:w="7257" w:type="dxa"/>
          <w:gridSpan w:val="2"/>
        </w:tcPr>
        <w:p w14:paraId="293BAC1C" w14:textId="77777777" w:rsidR="002129A1" w:rsidRDefault="00BE6F5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93BAC39" wp14:editId="293BAC3A">
                <wp:extent cx="1352550" cy="276225"/>
                <wp:effectExtent l="0" t="0" r="0" b="9525"/>
                <wp:docPr id="3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3BAC1D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93BAC1E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129A1" w14:paraId="293BAC22" w14:textId="77777777">
      <w:trPr>
        <w:trHeight w:val="210"/>
      </w:trPr>
      <w:tc>
        <w:tcPr>
          <w:tcW w:w="680" w:type="dxa"/>
        </w:tcPr>
        <w:p w14:paraId="293BAC20" w14:textId="77777777" w:rsidR="002129A1" w:rsidRDefault="002129A1">
          <w:pPr>
            <w:pStyle w:val="Kopfzeile"/>
          </w:pPr>
        </w:p>
      </w:tc>
      <w:tc>
        <w:tcPr>
          <w:tcW w:w="9072" w:type="dxa"/>
          <w:gridSpan w:val="2"/>
        </w:tcPr>
        <w:p w14:paraId="293BAC21" w14:textId="65748B87" w:rsidR="002129A1" w:rsidRDefault="002129A1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77BBA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F77BBA">
              <w:rPr>
                <w:noProof/>
              </w:rPr>
              <w:t>3</w:t>
            </w:r>
          </w:fldSimple>
        </w:p>
      </w:tc>
    </w:tr>
  </w:tbl>
  <w:p w14:paraId="293BAC23" w14:textId="77777777" w:rsidR="002129A1" w:rsidRDefault="002129A1">
    <w:pPr>
      <w:pStyle w:val="Kopfzeile"/>
      <w:tabs>
        <w:tab w:val="clear" w:pos="4536"/>
        <w:tab w:val="clear" w:pos="9072"/>
      </w:tabs>
      <w:rPr>
        <w:sz w:val="2"/>
      </w:rPr>
    </w:pPr>
  </w:p>
  <w:p w14:paraId="293BAC24" w14:textId="77777777" w:rsidR="002129A1" w:rsidRDefault="002129A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2129A1" w14:paraId="293BAC2D" w14:textId="77777777">
      <w:tc>
        <w:tcPr>
          <w:tcW w:w="7257" w:type="dxa"/>
        </w:tcPr>
        <w:p w14:paraId="293BAC2B" w14:textId="77777777" w:rsidR="002129A1" w:rsidRDefault="00BE6F52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93BAC3B" wp14:editId="293BAC3C">
                <wp:extent cx="1352550" cy="276225"/>
                <wp:effectExtent l="0" t="0" r="0" b="9525"/>
                <wp:docPr id="4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293BAC2C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129A1" w14:paraId="293BAC30" w14:textId="77777777">
      <w:tc>
        <w:tcPr>
          <w:tcW w:w="7257" w:type="dxa"/>
        </w:tcPr>
        <w:p w14:paraId="293BAC2E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93BAC2F" w14:textId="77777777" w:rsidR="002129A1" w:rsidRDefault="002129A1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93BAC31" w14:textId="77777777" w:rsidR="002129A1" w:rsidRDefault="002129A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A7518E"/>
    <w:multiLevelType w:val="hybridMultilevel"/>
    <w:tmpl w:val="F26A6144"/>
    <w:lvl w:ilvl="0" w:tplc="630C17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216EC"/>
    <w:multiLevelType w:val="multilevel"/>
    <w:tmpl w:val="73A04E1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F3E76B5"/>
    <w:multiLevelType w:val="hybridMultilevel"/>
    <w:tmpl w:val="A8AEAF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C5D9F"/>
    <w:multiLevelType w:val="hybridMultilevel"/>
    <w:tmpl w:val="C5FCF3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4A7D70"/>
    <w:multiLevelType w:val="hybridMultilevel"/>
    <w:tmpl w:val="1EB69844"/>
    <w:lvl w:ilvl="0" w:tplc="B8B8EE4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80B42"/>
    <w:multiLevelType w:val="hybridMultilevel"/>
    <w:tmpl w:val="4A40C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3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forms" w:enforcement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BE6F52"/>
    <w:rsid w:val="00002242"/>
    <w:rsid w:val="00010EB1"/>
    <w:rsid w:val="00013DAE"/>
    <w:rsid w:val="000203E8"/>
    <w:rsid w:val="00022945"/>
    <w:rsid w:val="000308F7"/>
    <w:rsid w:val="00073A59"/>
    <w:rsid w:val="00087B25"/>
    <w:rsid w:val="0009741E"/>
    <w:rsid w:val="000B3E0D"/>
    <w:rsid w:val="000B78D8"/>
    <w:rsid w:val="000D4E8B"/>
    <w:rsid w:val="000D7E91"/>
    <w:rsid w:val="000E3F65"/>
    <w:rsid w:val="000F180D"/>
    <w:rsid w:val="0010552C"/>
    <w:rsid w:val="00130222"/>
    <w:rsid w:val="00140E79"/>
    <w:rsid w:val="001447C8"/>
    <w:rsid w:val="00144CD3"/>
    <w:rsid w:val="00146A01"/>
    <w:rsid w:val="00160BEB"/>
    <w:rsid w:val="001621BD"/>
    <w:rsid w:val="00163A28"/>
    <w:rsid w:val="00194EC2"/>
    <w:rsid w:val="001A3376"/>
    <w:rsid w:val="001C6162"/>
    <w:rsid w:val="001D4FB6"/>
    <w:rsid w:val="001E0ED7"/>
    <w:rsid w:val="001E4407"/>
    <w:rsid w:val="001E55E9"/>
    <w:rsid w:val="001F796D"/>
    <w:rsid w:val="002129A1"/>
    <w:rsid w:val="002269DE"/>
    <w:rsid w:val="00245B95"/>
    <w:rsid w:val="002476FD"/>
    <w:rsid w:val="00250FF3"/>
    <w:rsid w:val="00253C1C"/>
    <w:rsid w:val="00265027"/>
    <w:rsid w:val="002773AC"/>
    <w:rsid w:val="0028272C"/>
    <w:rsid w:val="002901F3"/>
    <w:rsid w:val="002960E6"/>
    <w:rsid w:val="002B31FD"/>
    <w:rsid w:val="002D525D"/>
    <w:rsid w:val="002F15FF"/>
    <w:rsid w:val="00304075"/>
    <w:rsid w:val="00306833"/>
    <w:rsid w:val="0032422B"/>
    <w:rsid w:val="00325136"/>
    <w:rsid w:val="00325542"/>
    <w:rsid w:val="0033593A"/>
    <w:rsid w:val="00340055"/>
    <w:rsid w:val="00340DEB"/>
    <w:rsid w:val="003415A9"/>
    <w:rsid w:val="00350C0F"/>
    <w:rsid w:val="00351D2D"/>
    <w:rsid w:val="00370793"/>
    <w:rsid w:val="0037553C"/>
    <w:rsid w:val="00375FC2"/>
    <w:rsid w:val="00383A9A"/>
    <w:rsid w:val="00395DF5"/>
    <w:rsid w:val="00395EB2"/>
    <w:rsid w:val="003B1D05"/>
    <w:rsid w:val="003C012F"/>
    <w:rsid w:val="003E0504"/>
    <w:rsid w:val="003E4250"/>
    <w:rsid w:val="003E4703"/>
    <w:rsid w:val="003E5FC8"/>
    <w:rsid w:val="003F28AA"/>
    <w:rsid w:val="003F6734"/>
    <w:rsid w:val="00411656"/>
    <w:rsid w:val="00414D7C"/>
    <w:rsid w:val="0041658F"/>
    <w:rsid w:val="0041788B"/>
    <w:rsid w:val="00445E81"/>
    <w:rsid w:val="00450FFB"/>
    <w:rsid w:val="00452CBE"/>
    <w:rsid w:val="0047229F"/>
    <w:rsid w:val="00475A17"/>
    <w:rsid w:val="00480E21"/>
    <w:rsid w:val="004E106E"/>
    <w:rsid w:val="004E141B"/>
    <w:rsid w:val="004F38C8"/>
    <w:rsid w:val="004F5FA4"/>
    <w:rsid w:val="0050336B"/>
    <w:rsid w:val="005175FA"/>
    <w:rsid w:val="00517B96"/>
    <w:rsid w:val="0053080E"/>
    <w:rsid w:val="00530BA2"/>
    <w:rsid w:val="00531239"/>
    <w:rsid w:val="0053312E"/>
    <w:rsid w:val="005345A0"/>
    <w:rsid w:val="00534BC2"/>
    <w:rsid w:val="005357E0"/>
    <w:rsid w:val="00551D31"/>
    <w:rsid w:val="00552332"/>
    <w:rsid w:val="005614AA"/>
    <w:rsid w:val="0057375B"/>
    <w:rsid w:val="0058369D"/>
    <w:rsid w:val="005932A2"/>
    <w:rsid w:val="00594BA0"/>
    <w:rsid w:val="00595BC2"/>
    <w:rsid w:val="00596C66"/>
    <w:rsid w:val="005A25D1"/>
    <w:rsid w:val="005A43BE"/>
    <w:rsid w:val="005E415F"/>
    <w:rsid w:val="005E4A2A"/>
    <w:rsid w:val="005E61FD"/>
    <w:rsid w:val="005F3DCE"/>
    <w:rsid w:val="00622660"/>
    <w:rsid w:val="00632128"/>
    <w:rsid w:val="00644F77"/>
    <w:rsid w:val="00654D2C"/>
    <w:rsid w:val="00662D19"/>
    <w:rsid w:val="006955E3"/>
    <w:rsid w:val="006A1171"/>
    <w:rsid w:val="006A5D79"/>
    <w:rsid w:val="006B4627"/>
    <w:rsid w:val="006D3A95"/>
    <w:rsid w:val="006D6CB0"/>
    <w:rsid w:val="006F5B53"/>
    <w:rsid w:val="00703EE8"/>
    <w:rsid w:val="00711334"/>
    <w:rsid w:val="007262CE"/>
    <w:rsid w:val="00727621"/>
    <w:rsid w:val="00730F70"/>
    <w:rsid w:val="007430DE"/>
    <w:rsid w:val="00754306"/>
    <w:rsid w:val="00754A1A"/>
    <w:rsid w:val="00761189"/>
    <w:rsid w:val="00765C64"/>
    <w:rsid w:val="00783489"/>
    <w:rsid w:val="007A09A2"/>
    <w:rsid w:val="007C140E"/>
    <w:rsid w:val="007D2558"/>
    <w:rsid w:val="007D26B8"/>
    <w:rsid w:val="007D4F91"/>
    <w:rsid w:val="007E3AB3"/>
    <w:rsid w:val="0081702F"/>
    <w:rsid w:val="00817B94"/>
    <w:rsid w:val="00817C2D"/>
    <w:rsid w:val="00820DD6"/>
    <w:rsid w:val="00826579"/>
    <w:rsid w:val="008271B8"/>
    <w:rsid w:val="00854C9C"/>
    <w:rsid w:val="00856CB0"/>
    <w:rsid w:val="00873EBB"/>
    <w:rsid w:val="008807CE"/>
    <w:rsid w:val="008B3194"/>
    <w:rsid w:val="008B7286"/>
    <w:rsid w:val="008B7D97"/>
    <w:rsid w:val="008D4EC8"/>
    <w:rsid w:val="008E334C"/>
    <w:rsid w:val="008F13E6"/>
    <w:rsid w:val="009004BA"/>
    <w:rsid w:val="00903ADC"/>
    <w:rsid w:val="00917054"/>
    <w:rsid w:val="00921233"/>
    <w:rsid w:val="00924140"/>
    <w:rsid w:val="00936418"/>
    <w:rsid w:val="009631D3"/>
    <w:rsid w:val="009674FD"/>
    <w:rsid w:val="00971788"/>
    <w:rsid w:val="0097256A"/>
    <w:rsid w:val="009853B9"/>
    <w:rsid w:val="009930E3"/>
    <w:rsid w:val="009961E4"/>
    <w:rsid w:val="009A350C"/>
    <w:rsid w:val="009A7032"/>
    <w:rsid w:val="009D3959"/>
    <w:rsid w:val="00A16C84"/>
    <w:rsid w:val="00A44B2E"/>
    <w:rsid w:val="00A55150"/>
    <w:rsid w:val="00A64D3A"/>
    <w:rsid w:val="00A6786C"/>
    <w:rsid w:val="00A8693D"/>
    <w:rsid w:val="00A876DC"/>
    <w:rsid w:val="00A952DB"/>
    <w:rsid w:val="00A971CD"/>
    <w:rsid w:val="00AD6D6A"/>
    <w:rsid w:val="00AE05D0"/>
    <w:rsid w:val="00B00A72"/>
    <w:rsid w:val="00B05EC5"/>
    <w:rsid w:val="00B075A4"/>
    <w:rsid w:val="00B1265C"/>
    <w:rsid w:val="00B1599E"/>
    <w:rsid w:val="00B2079C"/>
    <w:rsid w:val="00B26479"/>
    <w:rsid w:val="00B3258D"/>
    <w:rsid w:val="00B325AC"/>
    <w:rsid w:val="00B547DE"/>
    <w:rsid w:val="00B65F9B"/>
    <w:rsid w:val="00B67C02"/>
    <w:rsid w:val="00B74B69"/>
    <w:rsid w:val="00B92738"/>
    <w:rsid w:val="00BC23F2"/>
    <w:rsid w:val="00BC662D"/>
    <w:rsid w:val="00BD606B"/>
    <w:rsid w:val="00BD772B"/>
    <w:rsid w:val="00BE5509"/>
    <w:rsid w:val="00BE6CCF"/>
    <w:rsid w:val="00BE6F52"/>
    <w:rsid w:val="00BF1216"/>
    <w:rsid w:val="00BF35BF"/>
    <w:rsid w:val="00BF68EC"/>
    <w:rsid w:val="00C14F84"/>
    <w:rsid w:val="00C17FB5"/>
    <w:rsid w:val="00C25C06"/>
    <w:rsid w:val="00C3566E"/>
    <w:rsid w:val="00C43785"/>
    <w:rsid w:val="00C57B1A"/>
    <w:rsid w:val="00C64386"/>
    <w:rsid w:val="00C906FE"/>
    <w:rsid w:val="00CA7B3E"/>
    <w:rsid w:val="00CB0302"/>
    <w:rsid w:val="00CB1326"/>
    <w:rsid w:val="00CB23C8"/>
    <w:rsid w:val="00CB7AC2"/>
    <w:rsid w:val="00CC473F"/>
    <w:rsid w:val="00CD109F"/>
    <w:rsid w:val="00CD3E0F"/>
    <w:rsid w:val="00CF154E"/>
    <w:rsid w:val="00CF6C35"/>
    <w:rsid w:val="00D16832"/>
    <w:rsid w:val="00D22795"/>
    <w:rsid w:val="00D25AD6"/>
    <w:rsid w:val="00D25BF4"/>
    <w:rsid w:val="00D43129"/>
    <w:rsid w:val="00D65204"/>
    <w:rsid w:val="00D66C2A"/>
    <w:rsid w:val="00D6768F"/>
    <w:rsid w:val="00D76A11"/>
    <w:rsid w:val="00D9388D"/>
    <w:rsid w:val="00DA024F"/>
    <w:rsid w:val="00DD6A50"/>
    <w:rsid w:val="00DF2F14"/>
    <w:rsid w:val="00DF4FBA"/>
    <w:rsid w:val="00E27F9D"/>
    <w:rsid w:val="00E47999"/>
    <w:rsid w:val="00E568A3"/>
    <w:rsid w:val="00E65175"/>
    <w:rsid w:val="00E73C15"/>
    <w:rsid w:val="00E775F7"/>
    <w:rsid w:val="00E82CC4"/>
    <w:rsid w:val="00E83087"/>
    <w:rsid w:val="00E9208A"/>
    <w:rsid w:val="00E967CF"/>
    <w:rsid w:val="00EA122A"/>
    <w:rsid w:val="00EB0033"/>
    <w:rsid w:val="00EE5DD8"/>
    <w:rsid w:val="00F002C9"/>
    <w:rsid w:val="00F07F14"/>
    <w:rsid w:val="00F435AC"/>
    <w:rsid w:val="00F459CF"/>
    <w:rsid w:val="00F52BB7"/>
    <w:rsid w:val="00F558C2"/>
    <w:rsid w:val="00F63A66"/>
    <w:rsid w:val="00F76B12"/>
    <w:rsid w:val="00F77BBA"/>
    <w:rsid w:val="00F83017"/>
    <w:rsid w:val="00F85265"/>
    <w:rsid w:val="00FA7A04"/>
    <w:rsid w:val="00FB112D"/>
    <w:rsid w:val="00FB1DE1"/>
    <w:rsid w:val="00FC1799"/>
    <w:rsid w:val="00FD0085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."/>
  <w:listSeparator w:val=";"/>
  <w14:docId w14:val="293BABD4"/>
  <w15:docId w15:val="{3407BC9E-AE18-4ED2-BBA2-14168646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uiPriority w:val="99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Hyperlink">
    <w:name w:val="Hyperlink"/>
    <w:basedOn w:val="Absatz-Standardschriftart"/>
    <w:rsid w:val="00DF4FBA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rsid w:val="00DF4FB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rsid w:val="003E470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E470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E4703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3E47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E4703"/>
    <w:rPr>
      <w:rFonts w:ascii="Arial" w:hAnsi="Arial" w:cs="Arial"/>
      <w:b/>
      <w:bCs/>
      <w:lang w:eastAsia="de-DE"/>
    </w:rPr>
  </w:style>
  <w:style w:type="paragraph" w:styleId="Titel">
    <w:name w:val="Title"/>
    <w:basedOn w:val="WeisungKopfteil"/>
    <w:next w:val="Standard"/>
    <w:link w:val="TitelZchn"/>
    <w:qFormat/>
    <w:rsid w:val="00E65175"/>
    <w:pPr>
      <w:framePr w:wrap="around"/>
    </w:pPr>
  </w:style>
  <w:style w:type="character" w:customStyle="1" w:styleId="TitelZchn">
    <w:name w:val="Titel Zchn"/>
    <w:basedOn w:val="Absatz-Standardschriftart"/>
    <w:link w:val="Titel"/>
    <w:rsid w:val="00E65175"/>
    <w:rPr>
      <w:rFonts w:ascii="Arial (W1)" w:hAnsi="Arial (W1)" w:cs="Arial"/>
      <w:b/>
      <w:sz w:val="22"/>
      <w:szCs w:val="24"/>
      <w:lang w:eastAsia="de-DE"/>
    </w:rPr>
  </w:style>
  <w:style w:type="paragraph" w:styleId="berarbeitung">
    <w:name w:val="Revision"/>
    <w:hidden/>
    <w:uiPriority w:val="99"/>
    <w:semiHidden/>
    <w:rsid w:val="00250FF3"/>
    <w:rPr>
      <w:rFonts w:ascii="Arial" w:hAnsi="Arial" w:cs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od.intranet.stzh.ch/regelwerk/sozialhilfe/falladministration/faller&#246;ffnung-fallf&#252;hrung-aktenf&#252;hrung" TargetMode="External"/><Relationship Id="rId18" Type="http://schemas.openxmlformats.org/officeDocument/2006/relationships/hyperlink" Target="elodms://(D0CF21C1-EA6B-6E74-BF8C-4118E1849BFD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ozeloixps.global.szh.loc/ix-SOZ_ELO_DM01/plugin/de.elo.ix.plugin.proxy/web/pages/startup.jsp?useSSO=true&amp;guid=(D4820A4C-9198-B150-AD32-179EB752428D)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sod.intranet.stzh.ch/organisation/sozialzentrum-wipkingerplatz/fachressort-wirtschaftliche-hilfe/zentrale-r%C3%BCckerstattungen/nachlassf%C3%A4lle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sozeloixps.global.szh.loc/ix-SOZ_ELO_DM01/plugin/de.elo.ix.plugin.proxy/web/pages/startup.jsp?useSSO=true&amp;guid=(572422E0-DB48-9980-65A3-0F4C27180398)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/>
    <Version_x0020_des_x0020_Dokuments xmlns="3905ffbc-9aeb-4d51-937e-ee1e2cf00671">1.0</Version_x0020_des_x0020_Dokuments>
    <Gültig_x0020_bis xmlns="3905ffbc-9aeb-4d51-937e-ee1e2cf00671" xsi:nil="true"/>
    <Kontaktperson_x0020_für_x0020_SOD_x0020_KOM xmlns="3905ffbc-9aeb-4d51-937e-ee1e2cf00671">
      <UserInfo>
        <DisplayName/>
        <AccountId xsi:nil="true"/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>i:0#.w|global\sozspt</DisplayName>
        <AccountId>1069</AccountId>
        <AccountType/>
      </UserInfo>
    </Verantwortliche_x002f_r_x0020_Autor_x002f_in>
    <Dokumentenstatus xmlns="f3b92940-74e1-4b32-811a-cd501d17ae23">3</Dokumentenstatus>
    <Gültig_x0020_von xmlns="3905ffbc-9aeb-4d51-937e-ee1e2cf00671">2017-09-30T22:00:00+00:00</Gültig_x0020_von>
    <Dokumentenart1 xmlns="3905ffbc-9aeb-4d51-937e-ee1e2cf00671">SOD Praxishilfe (PRA)</Dokumentenart1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/>
    <Fachkonzept xmlns="f3b92940-74e1-4b32-811a-cd501d17ae23">9</Fachkonzept>
    <Leistung xmlns="f3b92940-74e1-4b32-811a-cd501d17ae23">18</Leistung>
    <Thematische_x0020_Zuordnung_x0020_Fachressort_x0028_s_x0029_ xmlns="f3b92940-74e1-4b32-811a-cd501d17ae23">
      <Value>5</Value>
    </Thematische_x0020_Zuordnung_x0020_Fachressort_x0028_s_x0029_>
    <Gesetzliche_x0020_Grundlage xmlns="f3b92940-74e1-4b32-811a-cd501d17ae23">1</Gesetzliche_x0020_Grundlag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5A673-9D66-43E4-9066-530EF92F8E5E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3905ffbc-9aeb-4d51-937e-ee1e2cf00671"/>
    <ds:schemaRef ds:uri="http://purl.org/dc/terms/"/>
    <ds:schemaRef ds:uri="f3b92940-74e1-4b32-811a-cd501d17ae2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16DECF-7D37-4F1E-A536-540653BCA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D2A52-9E58-4431-BBAA-BA8D038DAF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5D6B407-5CC9-43D9-B881-59B84F2A1F7D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C13C2828-1028-4C38-90B1-BE3C82C66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794E16B-4D9D-458B-98FC-FAA4D699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6565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Zuständigkeiten und Aufgaben nach Todesfall von Klienten und Klientinnen mit wirtschaftlicher Hilfe</vt:lpstr>
    </vt:vector>
  </TitlesOfParts>
  <Company>Soziale Dienste Stadt Zürich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Zuständigkeiten und Aufgaben nach Todesfall von Klienten und Klientinnen mit wirtschaftlicher Hilfe</dc:title>
  <dc:creator>Spescha Thomas (SD)</dc:creator>
  <cp:lastModifiedBy>Adrian Orrego (sozorn)</cp:lastModifiedBy>
  <cp:revision>11</cp:revision>
  <cp:lastPrinted>2017-08-14T08:28:00Z</cp:lastPrinted>
  <dcterms:created xsi:type="dcterms:W3CDTF">2023-05-22T07:23:00Z</dcterms:created>
  <dcterms:modified xsi:type="dcterms:W3CDTF">2023-07-10T07:40:00Z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_dlc_DocIdItemGuid">
    <vt:lpwstr>54c461c7-0c36-4c06-8097-c12d68a58dd4</vt:lpwstr>
  </property>
  <property fmtid="{D5CDD505-2E9C-101B-9397-08002B2CF9AE}" pid="4" name="_dlc_DocId">
    <vt:lpwstr>SDSOD-119-786</vt:lpwstr>
  </property>
  <property fmtid="{D5CDD505-2E9C-101B-9397-08002B2CF9AE}" pid="5" name="_dlc_DocIdUrl">
    <vt:lpwstr>http://portal.sd.intra.stzh.ch/sod/regelwerk/_layouts/DocIdRedir.aspx?ID=SDSOD-119-786, SDSOD-119-786</vt:lpwstr>
  </property>
  <property fmtid="{D5CDD505-2E9C-101B-9397-08002B2CF9AE}" pid="6" name="TemplateUrl">
    <vt:lpwstr/>
  </property>
  <property fmtid="{D5CDD505-2E9C-101B-9397-08002B2CF9AE}" pid="7" name="Order">
    <vt:r8>200</vt:r8>
  </property>
  <property fmtid="{D5CDD505-2E9C-101B-9397-08002B2CF9AE}" pid="8" name="xd_ProgID">
    <vt:lpwstr/>
  </property>
  <property fmtid="{D5CDD505-2E9C-101B-9397-08002B2CF9AE}" pid="9" name="_CopySource">
    <vt:lpwstr/>
  </property>
  <property fmtid="{D5CDD505-2E9C-101B-9397-08002B2CF9AE}" pid="10" name="WorkflowChangePath">
    <vt:lpwstr>341fbddd-ec65-48e1-adf9-5a4e166d833e,3;341fbddd-ec65-48e1-adf9-5a4e166d833e,5;341fbddd-ec65-48e1-adf9-5a4e166d833e,7;498d860f-cbd0-4500-a53b-08f6ed17cb6e,9;7dbe9e3d-1110-41fa-836b-195a3e49061c,9;7dbe9e3d-1110-41fa-836b-195a3e49061c,11;</vt:lpwstr>
  </property>
  <property fmtid="{D5CDD505-2E9C-101B-9397-08002B2CF9AE}" pid="11" name="Kontaktperson für SOD KOM">
    <vt:lpwstr/>
  </property>
  <property fmtid="{D5CDD505-2E9C-101B-9397-08002B2CF9AE}" pid="12" name="Federführende/s Fachressort/Einheit">
    <vt:lpwstr>5</vt:lpwstr>
  </property>
  <property fmtid="{D5CDD505-2E9C-101B-9397-08002B2CF9AE}" pid="13" name="Thematische Zuordnung Fachressort(s)">
    <vt:lpwstr>5;#</vt:lpwstr>
  </property>
  <property fmtid="{D5CDD505-2E9C-101B-9397-08002B2CF9AE}" pid="14" name="Bemerkungen">
    <vt:lpwstr/>
  </property>
  <property fmtid="{D5CDD505-2E9C-101B-9397-08002B2CF9AE}" pid="15" name="Fachressorts">
    <vt:lpwstr>5</vt:lpwstr>
  </property>
  <property fmtid="{D5CDD505-2E9C-101B-9397-08002B2CF9AE}" pid="16" name="Herausgabe bei Informationszugangsgesuchen">
    <vt:lpwstr>kann herausgegeben werden</vt:lpwstr>
  </property>
  <property fmtid="{D5CDD505-2E9C-101B-9397-08002B2CF9AE}" pid="17" name="Fachkonzept">
    <vt:lpwstr>9</vt:lpwstr>
  </property>
  <property fmtid="{D5CDD505-2E9C-101B-9397-08002B2CF9AE}" pid="18" name="Leistung">
    <vt:lpwstr>18</vt:lpwstr>
  </property>
  <property fmtid="{D5CDD505-2E9C-101B-9397-08002B2CF9AE}" pid="19" name="Gesetzliche Grundlage">
    <vt:lpwstr>1</vt:lpwstr>
  </property>
</Properties>
</file>