
<file path=[Content_Types].xml><?xml version="1.0" encoding="utf-8"?>
<Types xmlns="http://schemas.openxmlformats.org/package/2006/content-types">
  <Default Extension="png" ContentType="image/png"/>
  <Default Extension="vsd" ContentType="application/vnd.ms-visio.viewer"/>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14:paraId="17EB39AD"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17EB39AA" w14:textId="77777777" w:rsidR="002129A1" w:rsidRDefault="002129A1">
            <w:pPr>
              <w:pStyle w:val="WeisungKopfteil"/>
              <w:framePr w:hSpace="0" w:wrap="auto" w:vAnchor="margin" w:hAnchor="text" w:xAlign="left" w:yAlign="inline"/>
              <w:spacing w:after="0"/>
              <w:rPr>
                <w:b w:val="0"/>
                <w:bCs/>
                <w:sz w:val="20"/>
              </w:rPr>
            </w:pPr>
            <w: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17EB39AB" w14:textId="77777777" w:rsidR="002129A1" w:rsidRDefault="00417BE2" w:rsidP="00BE6F52">
            <w:pPr>
              <w:pStyle w:val="WeisungKopfteil"/>
              <w:framePr w:hSpace="0" w:wrap="auto" w:vAnchor="margin" w:hAnchor="text" w:xAlign="left" w:yAlign="inline"/>
              <w:spacing w:after="0"/>
              <w:jc w:val="center"/>
              <w:rPr>
                <w:sz w:val="20"/>
              </w:rPr>
            </w:pPr>
            <w:r>
              <w:t>Praxishilfe</w:t>
            </w:r>
          </w:p>
        </w:tc>
        <w:tc>
          <w:tcPr>
            <w:tcW w:w="2414" w:type="dxa"/>
            <w:tcBorders>
              <w:top w:val="single" w:sz="4" w:space="0" w:color="808080"/>
              <w:left w:val="single" w:sz="6" w:space="0" w:color="808080"/>
              <w:bottom w:val="nil"/>
              <w:right w:val="single" w:sz="4" w:space="0" w:color="808080"/>
            </w:tcBorders>
            <w:shd w:val="clear" w:color="auto" w:fill="F3F3F3"/>
          </w:tcPr>
          <w:p w14:paraId="17EB39AC" w14:textId="77777777" w:rsidR="002129A1" w:rsidRPr="00BE6F52" w:rsidRDefault="00BE6F52">
            <w:pPr>
              <w:pStyle w:val="WeisungKopfteil"/>
              <w:framePr w:hSpace="0" w:wrap="auto" w:vAnchor="margin" w:hAnchor="text" w:xAlign="left" w:yAlign="inline"/>
              <w:spacing w:after="0"/>
              <w:ind w:right="45"/>
              <w:jc w:val="right"/>
              <w:rPr>
                <w:bCs/>
              </w:rPr>
            </w:pPr>
            <w:r w:rsidRPr="00BE6F52">
              <w:rPr>
                <w:bCs/>
              </w:rPr>
              <w:t>Gültig ab</w:t>
            </w:r>
          </w:p>
        </w:tc>
      </w:tr>
      <w:tr w:rsidR="002129A1" w:rsidRPr="00B1306D" w14:paraId="17EB39B1"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17EB39AE" w14:textId="7BB4903A" w:rsidR="002129A1" w:rsidRPr="004326D5" w:rsidRDefault="003E6048" w:rsidP="00B1306D">
            <w:pPr>
              <w:rPr>
                <w:sz w:val="20"/>
                <w:highlight w:val="yellow"/>
              </w:rPr>
            </w:pPr>
            <w:hyperlink r:id="rId13" w:history="1">
              <w:r w:rsidR="00DA3D3A" w:rsidRPr="004326D5">
                <w:rPr>
                  <w:rStyle w:val="Hyperlink"/>
                  <w:highlight w:val="yellow"/>
                </w:rPr>
                <w:t>SKOS C</w:t>
              </w:r>
            </w:hyperlink>
          </w:p>
        </w:tc>
        <w:tc>
          <w:tcPr>
            <w:tcW w:w="4453" w:type="dxa"/>
            <w:vMerge/>
            <w:tcBorders>
              <w:left w:val="single" w:sz="6" w:space="0" w:color="808080"/>
              <w:bottom w:val="single" w:sz="6" w:space="0" w:color="808080"/>
              <w:right w:val="single" w:sz="6" w:space="0" w:color="808080"/>
            </w:tcBorders>
            <w:shd w:val="clear" w:color="auto" w:fill="F3F3F3"/>
          </w:tcPr>
          <w:p w14:paraId="17EB39AF" w14:textId="77777777" w:rsidR="002129A1" w:rsidRDefault="002129A1">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17D98222" w14:textId="34784FA8" w:rsidR="009948F4" w:rsidRPr="00B1306D" w:rsidRDefault="001C4D65" w:rsidP="00B1306D">
            <w:pPr>
              <w:jc w:val="right"/>
              <w:rPr>
                <w:sz w:val="20"/>
              </w:rPr>
            </w:pPr>
            <w:r w:rsidRPr="001C4D65">
              <w:rPr>
                <w:sz w:val="20"/>
                <w:highlight w:val="yellow"/>
              </w:rPr>
              <w:t>01</w:t>
            </w:r>
            <w:r w:rsidR="00417BE2" w:rsidRPr="001C4D65">
              <w:rPr>
                <w:sz w:val="20"/>
                <w:highlight w:val="yellow"/>
              </w:rPr>
              <w:t>.</w:t>
            </w:r>
            <w:r w:rsidR="00DA3D3A">
              <w:rPr>
                <w:sz w:val="20"/>
              </w:rPr>
              <w:t>01.2021</w:t>
            </w:r>
          </w:p>
          <w:p w14:paraId="6F5FBAEB" w14:textId="77777777" w:rsidR="00DA3D3A" w:rsidRPr="00B1306D" w:rsidRDefault="001C4D65" w:rsidP="00DA3D3A">
            <w:pPr>
              <w:jc w:val="right"/>
              <w:rPr>
                <w:sz w:val="20"/>
              </w:rPr>
            </w:pPr>
            <w:r>
              <w:rPr>
                <w:sz w:val="20"/>
              </w:rPr>
              <w:t xml:space="preserve">ersetzt </w:t>
            </w:r>
            <w:r w:rsidR="00DA3D3A" w:rsidRPr="004326D5">
              <w:rPr>
                <w:sz w:val="20"/>
              </w:rPr>
              <w:t>01.07.2018</w:t>
            </w:r>
          </w:p>
          <w:p w14:paraId="17EB39B0" w14:textId="103BADC0" w:rsidR="002129A1" w:rsidRPr="00B1306D" w:rsidRDefault="00283095" w:rsidP="00B1306D">
            <w:pPr>
              <w:jc w:val="right"/>
              <w:rPr>
                <w:sz w:val="20"/>
              </w:rPr>
            </w:pPr>
            <w:r w:rsidRPr="00B1306D">
              <w:rPr>
                <w:sz w:val="20"/>
              </w:rPr>
              <w:fldChar w:fldCharType="begin">
                <w:ffData>
                  <w:name w:val="Text1"/>
                  <w:enabled/>
                  <w:calcOnExit w:val="0"/>
                  <w:textInput/>
                </w:ffData>
              </w:fldChar>
            </w:r>
            <w:r w:rsidR="002129A1" w:rsidRPr="00B1306D">
              <w:rPr>
                <w:sz w:val="20"/>
              </w:rPr>
              <w:instrText xml:space="preserve"> FORMTEXT </w:instrText>
            </w:r>
            <w:r w:rsidR="003E6048">
              <w:rPr>
                <w:sz w:val="20"/>
              </w:rPr>
            </w:r>
            <w:r w:rsidR="003E6048">
              <w:rPr>
                <w:sz w:val="20"/>
              </w:rPr>
              <w:fldChar w:fldCharType="separate"/>
            </w:r>
            <w:r w:rsidRPr="00B1306D">
              <w:rPr>
                <w:sz w:val="20"/>
              </w:rPr>
              <w:fldChar w:fldCharType="end"/>
            </w:r>
          </w:p>
        </w:tc>
      </w:tr>
      <w:tr w:rsidR="002129A1" w14:paraId="17EB39B3"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17EB39B2" w14:textId="77777777" w:rsidR="002129A1" w:rsidRDefault="00855A6F">
            <w:pPr>
              <w:pStyle w:val="WeisungKopfteil"/>
              <w:framePr w:hSpace="0" w:wrap="auto" w:vAnchor="margin" w:hAnchor="text" w:xAlign="left" w:yAlign="inline"/>
            </w:pPr>
            <w:r>
              <w:t>Umgang mit (Ferien-)Abwesenheiten</w:t>
            </w:r>
          </w:p>
        </w:tc>
      </w:tr>
    </w:tbl>
    <w:p w14:paraId="17EB39B4" w14:textId="77777777" w:rsidR="003415A9" w:rsidRDefault="003415A9">
      <w:pPr>
        <w:pStyle w:val="Absatz0"/>
        <w:sectPr w:rsidR="003415A9" w:rsidSect="003E5FC8">
          <w:headerReference w:type="even" r:id="rId14"/>
          <w:headerReference w:type="default" r:id="rId15"/>
          <w:footerReference w:type="even" r:id="rId16"/>
          <w:footerReference w:type="default" r:id="rId17"/>
          <w:headerReference w:type="first" r:id="rId18"/>
          <w:footerReference w:type="first" r:id="rId19"/>
          <w:pgSz w:w="11906" w:h="16838" w:code="9"/>
          <w:pgMar w:top="1985" w:right="1134" w:bottom="567" w:left="1701" w:header="567" w:footer="227" w:gutter="0"/>
          <w:cols w:space="720"/>
          <w:titlePg/>
          <w:docGrid w:linePitch="299"/>
        </w:sectPr>
      </w:pPr>
    </w:p>
    <w:p w14:paraId="17EB39B5" w14:textId="77777777" w:rsidR="002129A1" w:rsidRPr="00386D4C" w:rsidRDefault="002129A1">
      <w:pPr>
        <w:pStyle w:val="Absatz0"/>
        <w:rPr>
          <w:sz w:val="20"/>
        </w:rPr>
      </w:pPr>
    </w:p>
    <w:p w14:paraId="17EB39B6" w14:textId="77777777" w:rsidR="00855A6F" w:rsidRDefault="00855A6F" w:rsidP="00855A6F">
      <w:pPr>
        <w:pStyle w:val="berschrift1"/>
      </w:pPr>
      <w:r>
        <w:t>Grundlage</w:t>
      </w:r>
    </w:p>
    <w:p w14:paraId="17EB39B7" w14:textId="475E6B7B" w:rsidR="0057770E" w:rsidRDefault="00855A6F" w:rsidP="00855A6F">
      <w:pPr>
        <w:pStyle w:val="Absatz0"/>
        <w:spacing w:after="120"/>
      </w:pPr>
      <w:r>
        <w:t xml:space="preserve">Die Gewährung von Ferien(-zeit) wird in der </w:t>
      </w:r>
      <w:hyperlink r:id="rId20" w:history="1">
        <w:r w:rsidRPr="00B5543A">
          <w:rPr>
            <w:rStyle w:val="Hyperlink"/>
          </w:rPr>
          <w:t xml:space="preserve">HAW </w:t>
        </w:r>
        <w:r w:rsidR="00B55BA9">
          <w:rPr>
            <w:rStyle w:val="Hyperlink"/>
          </w:rPr>
          <w:t>Erholungsaufenthalte</w:t>
        </w:r>
      </w:hyperlink>
      <w:r>
        <w:t xml:space="preserve"> geregelt.</w:t>
      </w:r>
      <w:r w:rsidR="00BF1C1A">
        <w:t xml:space="preserve"> </w:t>
      </w:r>
      <w:r w:rsidR="00703B6B">
        <w:t>Die</w:t>
      </w:r>
      <w:r w:rsidR="00BF1C1A">
        <w:t xml:space="preserve"> vorliegende </w:t>
      </w:r>
      <w:r w:rsidR="00703B6B">
        <w:t>Praxishilfe</w:t>
      </w:r>
      <w:r w:rsidR="00BF1C1A">
        <w:t xml:space="preserve"> konkretisiert das Vorgehen in folgenden Situationen:</w:t>
      </w:r>
    </w:p>
    <w:p w14:paraId="17EB39B8" w14:textId="77777777" w:rsidR="00BF1C1A" w:rsidRDefault="00BF1C1A" w:rsidP="00855A6F">
      <w:pPr>
        <w:pStyle w:val="Absatz0"/>
        <w:spacing w:after="120"/>
      </w:pPr>
    </w:p>
    <w:p w14:paraId="17EB39B9" w14:textId="77777777" w:rsidR="00D62317" w:rsidRDefault="00D62317" w:rsidP="00855A6F">
      <w:pPr>
        <w:pStyle w:val="Absatz0"/>
        <w:spacing w:after="120"/>
      </w:pPr>
    </w:p>
    <w:p w14:paraId="17EB39BA" w14:textId="77777777" w:rsidR="00EE629B" w:rsidRDefault="00D62317" w:rsidP="00855A6F">
      <w:pPr>
        <w:pStyle w:val="Absatz0"/>
        <w:spacing w:after="120"/>
      </w:pPr>
      <w:r>
        <w:object w:dxaOrig="13038" w:dyaOrig="11060" w14:anchorId="17EB3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383.1pt" o:ole="">
            <v:imagedata r:id="rId21" o:title=""/>
          </v:shape>
          <o:OLEObject Type="Embed" ProgID="Visio.Drawing.11" ShapeID="_x0000_i1025" DrawAspect="Content" ObjectID="_1716364222" r:id="rId22"/>
        </w:object>
      </w:r>
    </w:p>
    <w:p w14:paraId="17EB39BB" w14:textId="77777777" w:rsidR="0057770E" w:rsidRDefault="0057770E" w:rsidP="00855A6F">
      <w:pPr>
        <w:pStyle w:val="Absatz0"/>
        <w:spacing w:after="120"/>
      </w:pPr>
    </w:p>
    <w:p w14:paraId="17EB39BC" w14:textId="77777777" w:rsidR="0057770E" w:rsidRDefault="0057770E" w:rsidP="00855A6F">
      <w:pPr>
        <w:pStyle w:val="Absatz0"/>
        <w:spacing w:after="120"/>
      </w:pPr>
    </w:p>
    <w:p w14:paraId="17EB39BD" w14:textId="77777777" w:rsidR="00855A6F" w:rsidRDefault="00855A6F" w:rsidP="00855A6F">
      <w:pPr>
        <w:pStyle w:val="Absatz0"/>
        <w:rPr>
          <w:sz w:val="16"/>
          <w:szCs w:val="16"/>
        </w:rPr>
      </w:pPr>
    </w:p>
    <w:p w14:paraId="17EB39BE" w14:textId="77777777" w:rsidR="006A261F" w:rsidRDefault="006A261F" w:rsidP="00855A6F">
      <w:pPr>
        <w:pStyle w:val="Absatz0"/>
        <w:rPr>
          <w:sz w:val="16"/>
          <w:szCs w:val="16"/>
        </w:rPr>
      </w:pPr>
    </w:p>
    <w:p w14:paraId="17EB39BF" w14:textId="77777777" w:rsidR="006A261F" w:rsidRDefault="006A261F" w:rsidP="00855A6F">
      <w:pPr>
        <w:pStyle w:val="Absatz0"/>
        <w:rPr>
          <w:sz w:val="16"/>
          <w:szCs w:val="16"/>
        </w:rPr>
      </w:pPr>
    </w:p>
    <w:p w14:paraId="17EB39C0" w14:textId="77777777" w:rsidR="006A261F" w:rsidRDefault="006A261F" w:rsidP="00855A6F">
      <w:pPr>
        <w:pStyle w:val="Absatz0"/>
        <w:rPr>
          <w:sz w:val="16"/>
          <w:szCs w:val="16"/>
        </w:rPr>
      </w:pPr>
    </w:p>
    <w:p w14:paraId="17EB39C1" w14:textId="77777777" w:rsidR="006A261F" w:rsidRDefault="006A261F" w:rsidP="00855A6F">
      <w:pPr>
        <w:pStyle w:val="Absatz0"/>
        <w:rPr>
          <w:sz w:val="16"/>
          <w:szCs w:val="16"/>
        </w:rPr>
      </w:pPr>
    </w:p>
    <w:p w14:paraId="17EB39C5" w14:textId="19202704" w:rsidR="006A261F" w:rsidRPr="00AF333D" w:rsidRDefault="006A261F" w:rsidP="00855A6F">
      <w:pPr>
        <w:pStyle w:val="Absatz0"/>
        <w:rPr>
          <w:sz w:val="16"/>
          <w:szCs w:val="16"/>
        </w:rPr>
      </w:pPr>
    </w:p>
    <w:p w14:paraId="17EB39C6" w14:textId="77777777" w:rsidR="00C10E21" w:rsidRDefault="003A5F48" w:rsidP="00AF333D">
      <w:pPr>
        <w:pStyle w:val="berschrift1"/>
        <w:ind w:left="431" w:hanging="431"/>
      </w:pPr>
      <w:r>
        <w:lastRenderedPageBreak/>
        <w:t>Abwesenheiten, die innerhalb des „ordentlichen“ Zeitrahmens liegen</w:t>
      </w:r>
    </w:p>
    <w:p w14:paraId="17EB39C7" w14:textId="22DE1658" w:rsidR="003A5F48" w:rsidRDefault="00AD7F60" w:rsidP="00AF333D">
      <w:pPr>
        <w:pStyle w:val="Absatz0"/>
      </w:pPr>
      <w:r>
        <w:t>Während</w:t>
      </w:r>
      <w:r w:rsidR="00B054B8">
        <w:t xml:space="preserve"> Abwesenheiten,</w:t>
      </w:r>
      <w:r w:rsidR="00C111C1">
        <w:t xml:space="preserve"> die </w:t>
      </w:r>
      <w:r w:rsidR="006E0973">
        <w:t>innerhalb des in der</w:t>
      </w:r>
      <w:r w:rsidR="00C111C1">
        <w:t xml:space="preserve"> </w:t>
      </w:r>
      <w:hyperlink r:id="rId23" w:history="1">
        <w:r w:rsidR="00C111C1" w:rsidRPr="009D7FEA">
          <w:rPr>
            <w:rStyle w:val="Hyperlink"/>
          </w:rPr>
          <w:t>H</w:t>
        </w:r>
        <w:r w:rsidR="00483EE6" w:rsidRPr="009D7FEA">
          <w:rPr>
            <w:rStyle w:val="Hyperlink"/>
          </w:rPr>
          <w:t>AW</w:t>
        </w:r>
        <w:r w:rsidR="004D14F5" w:rsidRPr="009D7FEA">
          <w:rPr>
            <w:rStyle w:val="Hyperlink"/>
          </w:rPr>
          <w:t xml:space="preserve"> Erholungsaufenthalte</w:t>
        </w:r>
      </w:hyperlink>
      <w:r w:rsidR="00C111C1">
        <w:t xml:space="preserve"> </w:t>
      </w:r>
      <w:r w:rsidR="006E0973">
        <w:t>festgelegten Zeitrahmens liegen</w:t>
      </w:r>
      <w:r w:rsidR="00C111C1">
        <w:t xml:space="preserve">, </w:t>
      </w:r>
      <w:r w:rsidR="003A5F48">
        <w:t>steht unterstützten Personen die ungekürzte materielle</w:t>
      </w:r>
      <w:r>
        <w:t xml:space="preserve"> Grundsicherung (</w:t>
      </w:r>
      <w:r w:rsidR="00A7416C">
        <w:t xml:space="preserve">GBL, </w:t>
      </w:r>
      <w:r>
        <w:t>Wohnkosten, medi</w:t>
      </w:r>
      <w:r w:rsidR="00A7416C">
        <w:t>zinische Grundversorgung</w:t>
      </w:r>
      <w:r>
        <w:t xml:space="preserve">) </w:t>
      </w:r>
      <w:r w:rsidR="003A5F48">
        <w:t>zu. Dieser Anspruch besteht unabhängig davon, ob die Abwesenheit vorgängig ordnungsgemäss deklariert worden ist oder nicht</w:t>
      </w:r>
      <w:r w:rsidR="00912B07">
        <w:t xml:space="preserve">. </w:t>
      </w:r>
      <w:r w:rsidR="00912B07" w:rsidRPr="001C4D65">
        <w:t xml:space="preserve">Bei nicht erfolgter Deklaration </w:t>
      </w:r>
      <w:r w:rsidR="00483EE6" w:rsidRPr="001C4D65">
        <w:t>ist der Klientin/dem Klienten aber eine Auflage zu erteilen (vgl. Ziff.</w:t>
      </w:r>
      <w:r w:rsidR="00215E7A" w:rsidRPr="001C4D65">
        <w:t xml:space="preserve"> 4 und</w:t>
      </w:r>
      <w:r w:rsidR="00483EE6" w:rsidRPr="001C4D65">
        <w:t xml:space="preserve"> 4.1).</w:t>
      </w:r>
    </w:p>
    <w:p w14:paraId="17EB39C8" w14:textId="30D51367" w:rsidR="00A127BD" w:rsidRPr="00A127BD" w:rsidRDefault="00A127BD" w:rsidP="00AF333D">
      <w:pPr>
        <w:pStyle w:val="Absatz0"/>
      </w:pPr>
    </w:p>
    <w:p w14:paraId="17EB39C9" w14:textId="77777777" w:rsidR="00855A6F" w:rsidRDefault="002F19C6" w:rsidP="00855A6F">
      <w:pPr>
        <w:pStyle w:val="berschrift1"/>
      </w:pPr>
      <w:r>
        <w:t>Deklarierte</w:t>
      </w:r>
      <w:r w:rsidR="003A5F48">
        <w:t xml:space="preserve"> Abwesenheiten, die den „ordentlichen“ Zeitrahmen überschreiten</w:t>
      </w:r>
    </w:p>
    <w:p w14:paraId="17EB39CA" w14:textId="77777777" w:rsidR="003A5F48" w:rsidRPr="003A5F48" w:rsidRDefault="003A5F48" w:rsidP="00855A6F">
      <w:pPr>
        <w:pStyle w:val="Absatz0"/>
        <w:rPr>
          <w:sz w:val="2"/>
          <w:szCs w:val="2"/>
        </w:rPr>
      </w:pPr>
    </w:p>
    <w:p w14:paraId="17EB39CB" w14:textId="77777777" w:rsidR="003A5F48" w:rsidRDefault="003A5F48" w:rsidP="003A5F48">
      <w:pPr>
        <w:pStyle w:val="berschrift2"/>
      </w:pPr>
      <w:r>
        <w:t>Genehmigung</w:t>
      </w:r>
    </w:p>
    <w:p w14:paraId="17EB39CC" w14:textId="0CC10B40" w:rsidR="00855A6F" w:rsidRDefault="00855A6F" w:rsidP="00386D4C">
      <w:pPr>
        <w:pStyle w:val="Absatz0"/>
        <w:spacing w:after="120"/>
      </w:pPr>
      <w:r>
        <w:t>Ausnahmsweise (z.B. bei nachgewiesener schwerer Krankheit oder beim Tod enger Fami</w:t>
      </w:r>
      <w:r w:rsidR="000649DF">
        <w:softHyphen/>
      </w:r>
      <w:r>
        <w:t xml:space="preserve">lienangehöriger, für die Beschaffung von Papieren </w:t>
      </w:r>
      <w:proofErr w:type="spellStart"/>
      <w:r>
        <w:t>u.ä.</w:t>
      </w:r>
      <w:proofErr w:type="spellEnd"/>
      <w:r>
        <w:t xml:space="preserve">) können Abwesenheiten genehmigt werden, die den in der </w:t>
      </w:r>
      <w:hyperlink r:id="rId24" w:history="1">
        <w:r w:rsidRPr="009D7FEA">
          <w:rPr>
            <w:rStyle w:val="Hyperlink"/>
          </w:rPr>
          <w:t>HAW</w:t>
        </w:r>
        <w:r w:rsidR="004D14F5" w:rsidRPr="009D7FEA">
          <w:rPr>
            <w:rStyle w:val="Hyperlink"/>
          </w:rPr>
          <w:t xml:space="preserve"> Erholungsaufenthalte</w:t>
        </w:r>
      </w:hyperlink>
      <w:r>
        <w:t xml:space="preserve"> </w:t>
      </w:r>
      <w:r w:rsidR="00386D4C">
        <w:t xml:space="preserve">festgelegten zeitlichen Rahmen </w:t>
      </w:r>
      <w:r>
        <w:t>überschreiten. Besteht ein Risiko, dass dadurch die berufliche Integration einer Person gefährdet wird, ist ein ent</w:t>
      </w:r>
      <w:r w:rsidR="00483EE6">
        <w:softHyphen/>
      </w:r>
      <w:r>
        <w:t xml:space="preserve">sprechender Antrag abzulehnen. </w:t>
      </w:r>
    </w:p>
    <w:p w14:paraId="17EB39CD" w14:textId="77777777" w:rsidR="00B656E9" w:rsidRPr="00B656E9" w:rsidRDefault="00855A6F" w:rsidP="00855A6F">
      <w:pPr>
        <w:pStyle w:val="Absatz0"/>
        <w:rPr>
          <w:sz w:val="20"/>
        </w:rPr>
      </w:pPr>
      <w:r>
        <w:t>Es wird empfohlen, die Beurteilung im 4-Augen-Prinzip vorzunehmen und den getroffenen Entscheid</w:t>
      </w:r>
      <w:r w:rsidR="003A5F48">
        <w:t xml:space="preserve"> (inkl. Begründung)</w:t>
      </w:r>
      <w:r>
        <w:t xml:space="preserve"> in den Aktennotizen zu dokumentieren. </w:t>
      </w:r>
    </w:p>
    <w:p w14:paraId="17EB39CE" w14:textId="77777777" w:rsidR="00855A6F" w:rsidRDefault="00855A6F" w:rsidP="00855A6F">
      <w:pPr>
        <w:pStyle w:val="berschrift2"/>
      </w:pPr>
      <w:r>
        <w:t>Anpassung GBL</w:t>
      </w:r>
    </w:p>
    <w:p w14:paraId="0DC91087" w14:textId="77777777" w:rsidR="003B3664" w:rsidRDefault="00855A6F" w:rsidP="003B3664">
      <w:r>
        <w:t>Im Ausland sind die Lebenshaltungskosten meistens tiefer als in der Schweiz. Bei Abwesen</w:t>
      </w:r>
      <w:r w:rsidR="000649DF">
        <w:softHyphen/>
      </w:r>
      <w:r>
        <w:t xml:space="preserve">heit von mehr als 1 Monat ist deshalb eine Anpassung des Grundbedarfs an die örtlichen Gegebenheiten zu prüfen. </w:t>
      </w:r>
      <w:r w:rsidR="000649DF">
        <w:t xml:space="preserve">Diese erfolgt gemäss der jeweils gültigen Tabelle </w:t>
      </w:r>
      <w:r w:rsidR="00EA1DE6">
        <w:t xml:space="preserve">des BSV </w:t>
      </w:r>
      <w:r w:rsidR="000649DF">
        <w:t>für den Export von Familienzula</w:t>
      </w:r>
      <w:r w:rsidR="000649DF" w:rsidRPr="001C4D65">
        <w:t>gen (</w:t>
      </w:r>
      <w:r w:rsidR="006C549E" w:rsidRPr="001C4D65">
        <w:t xml:space="preserve">siehe: </w:t>
      </w:r>
      <w:r w:rsidR="000649DF" w:rsidRPr="001C4D65">
        <w:t>Wegleitung zum Bundesgesetz über die Familien</w:t>
      </w:r>
      <w:r w:rsidR="00DD0662" w:rsidRPr="001C4D65">
        <w:t>zulagen</w:t>
      </w:r>
      <w:r w:rsidR="000649DF" w:rsidRPr="001C4D65">
        <w:t xml:space="preserve">, </w:t>
      </w:r>
      <w:r w:rsidR="00BA7A6B" w:rsidRPr="001C4D65">
        <w:t>Anhang 2 S.</w:t>
      </w:r>
      <w:r w:rsidR="006C549E" w:rsidRPr="001C4D65">
        <w:t>109</w:t>
      </w:r>
      <w:r w:rsidR="00BA7A6B" w:rsidRPr="001C4D65">
        <w:t>)</w:t>
      </w:r>
    </w:p>
    <w:p w14:paraId="17EB39CF" w14:textId="6F23849F" w:rsidR="00B656E9" w:rsidRPr="00D62317" w:rsidRDefault="003B3664" w:rsidP="003B3664">
      <w:hyperlink r:id="rId25" w:history="1">
        <w:r>
          <w:rPr>
            <w:rStyle w:val="Hyperlink"/>
            <w:sz w:val="20"/>
            <w:lang w:eastAsia="en-US"/>
          </w:rPr>
          <w:t>https://sozialversicherungen.admin.ch/de/d/6348/download</w:t>
        </w:r>
      </w:hyperlink>
      <w:bookmarkStart w:id="0" w:name="_GoBack"/>
      <w:bookmarkEnd w:id="0"/>
      <w:r w:rsidR="00386D4C">
        <w:t xml:space="preserve">. </w:t>
      </w:r>
    </w:p>
    <w:p w14:paraId="17EB39D0" w14:textId="77777777" w:rsidR="003A5F48" w:rsidRDefault="003A5F48" w:rsidP="003A5F48">
      <w:pPr>
        <w:pStyle w:val="berschrift2"/>
      </w:pPr>
      <w:r>
        <w:t>Lebensmittelpunkt</w:t>
      </w:r>
    </w:p>
    <w:p w14:paraId="17EB39D1" w14:textId="77777777" w:rsidR="00A127BD" w:rsidRDefault="002F19C6" w:rsidP="00855A6F">
      <w:pPr>
        <w:pStyle w:val="Absatz0"/>
      </w:pPr>
      <w:r>
        <w:t xml:space="preserve">Bei ordnungsgemäss deklarierten und bewilligten Abwesenheiten, die zeitlich befristet sind und/oder einem bestimmten Zweck dienen, ist der Lebensmittelpunkt Zürich in aller Regel nicht in Frage zu stellen. </w:t>
      </w:r>
    </w:p>
    <w:p w14:paraId="17EB39D2" w14:textId="77777777" w:rsidR="00A127BD" w:rsidRPr="00B656E9" w:rsidRDefault="00A127BD" w:rsidP="00855A6F">
      <w:pPr>
        <w:pStyle w:val="Absatz0"/>
        <w:rPr>
          <w:sz w:val="20"/>
        </w:rPr>
      </w:pPr>
    </w:p>
    <w:p w14:paraId="17EB39D3" w14:textId="77777777" w:rsidR="00855A6F" w:rsidRPr="00C12E68" w:rsidRDefault="002F19C6" w:rsidP="00855A6F">
      <w:pPr>
        <w:pStyle w:val="berschrift1"/>
      </w:pPr>
      <w:r>
        <w:t>Nicht deklarierte</w:t>
      </w:r>
      <w:r w:rsidR="00855A6F" w:rsidRPr="00C12E68">
        <w:t xml:space="preserve"> und/oder nicht genehmigte Abwesenheiten</w:t>
      </w:r>
    </w:p>
    <w:p w14:paraId="17EB39D4" w14:textId="49C36237" w:rsidR="00B656E9" w:rsidRPr="00D62317" w:rsidRDefault="00855A6F" w:rsidP="00855A6F">
      <w:pPr>
        <w:pStyle w:val="Absatz0"/>
      </w:pPr>
      <w:r w:rsidRPr="00C12E68">
        <w:t xml:space="preserve">Wird eine </w:t>
      </w:r>
      <w:r>
        <w:t>Ortsabwesenheit von mehr als 5 Arbeitst</w:t>
      </w:r>
      <w:r w:rsidRPr="00C12E68">
        <w:t>agen nicht vorgängig deklariert und/oder wird eine solche ohne Genehmigung durch die Fallführung angetreten, handelt es sich um einen Verstoss gegen die Auskunftspflicht bzw. gegen Anordnungen der Sozialen Dienste (s</w:t>
      </w:r>
      <w:r w:rsidR="00222C63">
        <w:t>iehe</w:t>
      </w:r>
      <w:r w:rsidRPr="00C12E68">
        <w:t xml:space="preserve"> Merkblatt Rechte und Pflichten </w:t>
      </w:r>
      <w:r w:rsidR="00277AA0">
        <w:t>in der Sozialhilfe, Ziff. 2</w:t>
      </w:r>
      <w:r w:rsidR="002F19C6">
        <w:t>.1).</w:t>
      </w:r>
      <w:r w:rsidRPr="00C12E68">
        <w:t xml:space="preserve"> In diesen Situationen ist gemäss folgenden </w:t>
      </w:r>
      <w:r>
        <w:t xml:space="preserve">Ausführungen (Ziff. </w:t>
      </w:r>
      <w:r w:rsidR="005F505A">
        <w:t>4</w:t>
      </w:r>
      <w:r w:rsidRPr="00C12E68">
        <w:t xml:space="preserve">.1 bis </w:t>
      </w:r>
      <w:r w:rsidR="005F505A">
        <w:t>4</w:t>
      </w:r>
      <w:r w:rsidRPr="00C12E68">
        <w:t>.3</w:t>
      </w:r>
      <w:r>
        <w:t>)</w:t>
      </w:r>
      <w:r w:rsidRPr="00C12E68">
        <w:t xml:space="preserve"> vorzugehen. </w:t>
      </w:r>
    </w:p>
    <w:p w14:paraId="17EB39D5" w14:textId="77777777" w:rsidR="00855A6F" w:rsidRPr="00C12E68" w:rsidRDefault="00855A6F" w:rsidP="00855A6F">
      <w:pPr>
        <w:pStyle w:val="berschrift2"/>
      </w:pPr>
      <w:r w:rsidRPr="00C12E68">
        <w:t xml:space="preserve">Auflage, </w:t>
      </w:r>
      <w:r>
        <w:t xml:space="preserve">Verwarnung, </w:t>
      </w:r>
      <w:r w:rsidRPr="00C12E68">
        <w:t>Sanktion (§ 24 SHG)</w:t>
      </w:r>
    </w:p>
    <w:p w14:paraId="17EB39D6" w14:textId="69CF6BC9" w:rsidR="00855A6F" w:rsidRPr="001C4D65" w:rsidRDefault="00855A6F" w:rsidP="00A127BD">
      <w:pPr>
        <w:pStyle w:val="Absatz0"/>
        <w:spacing w:after="120"/>
      </w:pPr>
      <w:r w:rsidRPr="001C4D65">
        <w:t xml:space="preserve">Den betreffenden Personen wird gestützt auf § 21 SHG eine schriftliche </w:t>
      </w:r>
      <w:r w:rsidR="008E1F5C" w:rsidRPr="001C4D65">
        <w:t xml:space="preserve">nicht </w:t>
      </w:r>
      <w:r w:rsidRPr="001C4D65">
        <w:t xml:space="preserve">anfechtbare Auflage mit Verwarnung erteilt. Mit dieser werden sie verpflichtet, Ortsabwesenheiten künftig ordnungsgemäss zu deklarieren und bewilligen zu lassen. Gleichzeitig wird auf die Möglichkeit einer Leistungskürzung im Wiederholungsfall hingewiesen. </w:t>
      </w:r>
    </w:p>
    <w:p w14:paraId="17EB39D7" w14:textId="2F55CB6F" w:rsidR="00BF1C1A" w:rsidRDefault="00855A6F" w:rsidP="00855A6F">
      <w:pPr>
        <w:pStyle w:val="Absatz0"/>
      </w:pPr>
      <w:r w:rsidRPr="001C4D65">
        <w:t xml:space="preserve">Wird diese Auflage verletzt, ist die angedrohte Sanktion umzusetzen. Die Kürzung erfolgt gemäss den in der </w:t>
      </w:r>
      <w:hyperlink r:id="rId26" w:history="1">
        <w:r w:rsidR="001C4D65" w:rsidRPr="004326D5">
          <w:rPr>
            <w:rStyle w:val="Hyperlink"/>
          </w:rPr>
          <w:t>HAW Auflagen- und Kürzungsverfahren</w:t>
        </w:r>
      </w:hyperlink>
      <w:r w:rsidR="00143244" w:rsidRPr="004326D5">
        <w:t xml:space="preserve"> Ziff. 2</w:t>
      </w:r>
      <w:r w:rsidR="002D5880" w:rsidRPr="004326D5">
        <w:t>.2</w:t>
      </w:r>
      <w:r w:rsidRPr="001C4D65">
        <w:t xml:space="preserve"> festgehaltenen Prinzipien.</w:t>
      </w:r>
      <w:r w:rsidRPr="00C12E68">
        <w:t xml:space="preserve"> </w:t>
      </w:r>
    </w:p>
    <w:p w14:paraId="17EB39D8" w14:textId="77777777" w:rsidR="00855A6F" w:rsidRDefault="00855A6F" w:rsidP="00D62317"/>
    <w:p w14:paraId="17EB39D9" w14:textId="77777777" w:rsidR="00D62317" w:rsidRDefault="00D62317" w:rsidP="00D62317"/>
    <w:p w14:paraId="17EB39DA" w14:textId="77777777" w:rsidR="00D62317" w:rsidRPr="00D62317" w:rsidRDefault="00D62317" w:rsidP="00D62317"/>
    <w:p w14:paraId="17EB39DB" w14:textId="77777777" w:rsidR="00855A6F" w:rsidRDefault="00855A6F" w:rsidP="00855A6F">
      <w:pPr>
        <w:pStyle w:val="berschrift2"/>
      </w:pPr>
      <w:r>
        <w:t>Überprüfung der Unterstützungsvoraussetzungen</w:t>
      </w:r>
    </w:p>
    <w:p w14:paraId="17EB39DC" w14:textId="1080322B" w:rsidR="00855A6F" w:rsidRDefault="00855A6F" w:rsidP="00855A6F">
      <w:pPr>
        <w:pStyle w:val="Absatz0"/>
      </w:pPr>
      <w:r>
        <w:t xml:space="preserve">Stellt die Fallführung fest, dass sich jemand längere Zeit ausserhalb Zürichs aufgehalten hat, ohne dies vorgängig zu deklarieren bzw. ohne die entsprechende Genehmigung erhalten zu haben, ist der Fortbestand der Unterstützungsvoraussetzungen zu überprüfen. Bei Abwesenheiten betrifft dies insbesondere die folgenden Punkte: </w:t>
      </w:r>
    </w:p>
    <w:p w14:paraId="17EB39DD" w14:textId="77777777" w:rsidR="00855A6F" w:rsidRPr="00386D4C" w:rsidRDefault="00855A6F" w:rsidP="00855A6F">
      <w:pPr>
        <w:pStyle w:val="Absatz0"/>
        <w:rPr>
          <w:sz w:val="20"/>
        </w:rPr>
      </w:pPr>
    </w:p>
    <w:p w14:paraId="17EB39DE" w14:textId="77777777" w:rsidR="00855A6F" w:rsidRDefault="00855A6F" w:rsidP="00222C63">
      <w:pPr>
        <w:pStyle w:val="Absatz0"/>
        <w:numPr>
          <w:ilvl w:val="0"/>
          <w:numId w:val="11"/>
        </w:numPr>
        <w:ind w:left="426" w:hanging="426"/>
      </w:pPr>
      <w:r>
        <w:t>Überprüfung Mittellosigkeit</w:t>
      </w:r>
    </w:p>
    <w:p w14:paraId="17EB39DF" w14:textId="77777777" w:rsidR="00855A6F" w:rsidRDefault="00855A6F" w:rsidP="00222C63">
      <w:pPr>
        <w:pStyle w:val="Absatz0"/>
        <w:numPr>
          <w:ilvl w:val="0"/>
          <w:numId w:val="11"/>
        </w:numPr>
        <w:ind w:left="426" w:hanging="426"/>
      </w:pPr>
      <w:r>
        <w:t>Überprüfung Lebensmittelpunkt</w:t>
      </w:r>
    </w:p>
    <w:p w14:paraId="17EB39E0" w14:textId="77777777" w:rsidR="00855A6F" w:rsidRPr="00386D4C" w:rsidRDefault="00855A6F" w:rsidP="00855A6F">
      <w:pPr>
        <w:pStyle w:val="Absatz0"/>
        <w:rPr>
          <w:sz w:val="20"/>
        </w:rPr>
      </w:pPr>
    </w:p>
    <w:p w14:paraId="17EB39E1" w14:textId="05C0FA31" w:rsidR="00855A6F" w:rsidRPr="00D62317" w:rsidRDefault="00855A6F" w:rsidP="00855A6F">
      <w:pPr>
        <w:pStyle w:val="Absatz0"/>
      </w:pPr>
      <w:r>
        <w:t xml:space="preserve">Die Klientin bzw. der Klient steht in der Pflicht, alle hierfür benötigten Belege beizubringen </w:t>
      </w:r>
      <w:r w:rsidRPr="001C4D65">
        <w:t xml:space="preserve">und die verlangten Auskünfte zu erteilen. Nötigenfalls können diese mittels </w:t>
      </w:r>
      <w:r w:rsidR="008E1F5C" w:rsidRPr="001C4D65">
        <w:t xml:space="preserve">nicht anfechtbarer </w:t>
      </w:r>
      <w:r w:rsidRPr="001C4D65">
        <w:t xml:space="preserve">Auflage eingefordert werden. Wird der Auflage keine Folge geleistet, sind die angedrohten Leistungskürzungen mittels </w:t>
      </w:r>
      <w:r w:rsidR="00BF1C1A" w:rsidRPr="001C4D65">
        <w:t>anfechtbaren Entscheids</w:t>
      </w:r>
      <w:r w:rsidRPr="001C4D65">
        <w:t xml:space="preserve"> anzuordnen.</w:t>
      </w:r>
      <w:r>
        <w:t xml:space="preserve"> </w:t>
      </w:r>
    </w:p>
    <w:p w14:paraId="17EB39E2" w14:textId="77777777" w:rsidR="00855A6F" w:rsidRPr="00512508" w:rsidRDefault="00855A6F" w:rsidP="00855A6F">
      <w:pPr>
        <w:pStyle w:val="berschrift3"/>
        <w:numPr>
          <w:ilvl w:val="0"/>
          <w:numId w:val="12"/>
        </w:numPr>
        <w:tabs>
          <w:tab w:val="clear" w:pos="709"/>
          <w:tab w:val="left" w:pos="426"/>
        </w:tabs>
        <w:ind w:left="426" w:hanging="426"/>
      </w:pPr>
      <w:r w:rsidRPr="00512508">
        <w:t>Überprüfung Mittellosigkeit (§ 14 SHG</w:t>
      </w:r>
      <w:r>
        <w:t xml:space="preserve"> und § 16 SHV</w:t>
      </w:r>
      <w:r w:rsidRPr="00512508">
        <w:t>)</w:t>
      </w:r>
    </w:p>
    <w:p w14:paraId="17EB39E3" w14:textId="21C5F7AF" w:rsidR="00855A6F" w:rsidRDefault="00855A6F" w:rsidP="00855A6F">
      <w:pPr>
        <w:pStyle w:val="Absatz0"/>
      </w:pPr>
      <w:r>
        <w:t>Hat</w:t>
      </w:r>
      <w:r w:rsidRPr="008B2D0F">
        <w:t xml:space="preserve"> </w:t>
      </w:r>
      <w:r>
        <w:t xml:space="preserve">sich ein/e Sozialhilfebezüger/in während </w:t>
      </w:r>
      <w:r w:rsidR="00F215AC">
        <w:t>mehr als 4 Wochen pro Jahr</w:t>
      </w:r>
      <w:r>
        <w:t xml:space="preserve"> ausserhalb Zürichs aufgehalten</w:t>
      </w:r>
      <w:r w:rsidR="00F215AC">
        <w:t xml:space="preserve"> und/oder reist sie mehrfach pro Jahr ins Ausland, </w:t>
      </w:r>
      <w:r>
        <w:t xml:space="preserve">stellt sich die Frage, wie die zusätzlich zum normalen Lebensunterhalt anfallenden Kosten, insbesondere für Reise und Unterkunft, gedeckt worden sind. Um Zweifel betreffend nicht deklarierter Einkünfte und/oder Vermögenswerte auszuräumen, hat die Klientin resp. der Klient umfassend Auskunft zu erteilen und entsprechende Belege vorzulegen. Diese können sich bspw. auf folgende Fragen beziehen: </w:t>
      </w:r>
    </w:p>
    <w:p w14:paraId="17EB39E4" w14:textId="77777777" w:rsidR="00855A6F" w:rsidRPr="00386D4C" w:rsidRDefault="00855A6F" w:rsidP="00855A6F">
      <w:pPr>
        <w:pStyle w:val="Absatz0"/>
        <w:rPr>
          <w:sz w:val="20"/>
        </w:rPr>
      </w:pPr>
    </w:p>
    <w:p w14:paraId="17EB39E5" w14:textId="77A46766" w:rsidR="00855A6F" w:rsidRDefault="00855A6F" w:rsidP="00BA2D78">
      <w:pPr>
        <w:pStyle w:val="Absatz0"/>
        <w:numPr>
          <w:ilvl w:val="0"/>
          <w:numId w:val="10"/>
        </w:numPr>
        <w:tabs>
          <w:tab w:val="clear" w:pos="720"/>
          <w:tab w:val="num" w:pos="284"/>
        </w:tabs>
        <w:ind w:left="284" w:hanging="284"/>
      </w:pPr>
      <w:r>
        <w:t xml:space="preserve">Welche Kosten sind für Reise und Unterkunft entstanden, </w:t>
      </w:r>
      <w:r w:rsidR="00BA2D78">
        <w:t xml:space="preserve">wie </w:t>
      </w:r>
      <w:r>
        <w:t>sind diese Auslagen finanziert worden? Sind die Erklärungen anhand der Angaben im Unterstützungsantrag, anhand des Unterstützungsbudgets, der erfolg</w:t>
      </w:r>
      <w:r w:rsidR="00BA2D78">
        <w:t>t</w:t>
      </w:r>
      <w:r>
        <w:t xml:space="preserve">en Kontobewegungen, des Kontostandes etc. nachvollziehbar? </w:t>
      </w:r>
    </w:p>
    <w:p w14:paraId="17EB39E6" w14:textId="77777777" w:rsidR="00855A6F" w:rsidRDefault="00855A6F" w:rsidP="00BA2D78">
      <w:pPr>
        <w:pStyle w:val="Absatz0"/>
        <w:numPr>
          <w:ilvl w:val="0"/>
          <w:numId w:val="10"/>
        </w:numPr>
        <w:tabs>
          <w:tab w:val="clear" w:pos="720"/>
          <w:tab w:val="num" w:pos="284"/>
        </w:tabs>
        <w:ind w:left="284" w:hanging="284"/>
      </w:pPr>
      <w:r>
        <w:t xml:space="preserve">Wem gehört das Auto, mit dem die Reise allenfalls unternommen worden ist? </w:t>
      </w:r>
    </w:p>
    <w:p w14:paraId="17EB39E7" w14:textId="6AB58CAB" w:rsidR="00855A6F" w:rsidRDefault="00855A6F" w:rsidP="00BA2D78">
      <w:pPr>
        <w:pStyle w:val="Absatz0"/>
        <w:numPr>
          <w:ilvl w:val="0"/>
          <w:numId w:val="10"/>
        </w:numPr>
        <w:tabs>
          <w:tab w:val="clear" w:pos="720"/>
          <w:tab w:val="num" w:pos="284"/>
        </w:tabs>
        <w:ind w:left="284" w:hanging="284"/>
      </w:pPr>
      <w:r>
        <w:t>Wo hat die betreffende Person während ihres Aufenthaltes logiert? Wem gehört die allenfalls zur Verfügung gestellte Privatunterkunft?</w:t>
      </w:r>
    </w:p>
    <w:p w14:paraId="17EB39E8" w14:textId="0FCF6ADB" w:rsidR="00B656E9" w:rsidRPr="00D62317" w:rsidRDefault="00855A6F" w:rsidP="00B656E9">
      <w:pPr>
        <w:pStyle w:val="Absatz0"/>
        <w:numPr>
          <w:ilvl w:val="0"/>
          <w:numId w:val="10"/>
        </w:numPr>
        <w:tabs>
          <w:tab w:val="clear" w:pos="720"/>
          <w:tab w:val="num" w:pos="284"/>
        </w:tabs>
        <w:ind w:left="284" w:hanging="284"/>
      </w:pPr>
      <w:r>
        <w:t>Bei eigener Liegenschaft ist zu prüfen, ob diese deklariert worden ist. War dies nicht der Fall, so muss evtl. ein Rückerstattungsentscheid wegen unrechtmässigem Sozialhilfebezug erlassen werden.</w:t>
      </w:r>
    </w:p>
    <w:p w14:paraId="17EB39E9" w14:textId="77777777" w:rsidR="00855A6F" w:rsidRDefault="00855A6F" w:rsidP="00855A6F">
      <w:pPr>
        <w:pStyle w:val="berschrift3"/>
        <w:numPr>
          <w:ilvl w:val="0"/>
          <w:numId w:val="12"/>
        </w:numPr>
        <w:tabs>
          <w:tab w:val="clear" w:pos="709"/>
          <w:tab w:val="left" w:pos="426"/>
        </w:tabs>
        <w:ind w:left="426" w:hanging="426"/>
      </w:pPr>
      <w:r>
        <w:t>Überprüfung Lebensmittelpunkt (§ 34 SHG)</w:t>
      </w:r>
    </w:p>
    <w:p w14:paraId="17EB39EA" w14:textId="7D5AF4B8" w:rsidR="00855A6F" w:rsidRDefault="00855A6F" w:rsidP="00A127BD">
      <w:pPr>
        <w:pStyle w:val="Absatz0"/>
        <w:spacing w:after="120"/>
      </w:pPr>
      <w:r>
        <w:t xml:space="preserve">Die Sozialen Dienste sind für die finanzielle Unterstützung nur zuständig, sofern die hilfesuchende Person Wohnsitz in der Stadt Zürich hat. Gemäss SHG gilt diejenige Gemeinde als Wohnsitz, in der sich die betreffende Person mit der Absicht des dauernden Verbleibs aufhält. </w:t>
      </w:r>
    </w:p>
    <w:p w14:paraId="17EB39EB" w14:textId="2A31E194" w:rsidR="00855A6F" w:rsidRDefault="00855A6F" w:rsidP="00855A6F">
      <w:pPr>
        <w:pStyle w:val="Absatz0"/>
      </w:pPr>
      <w:r>
        <w:t>Im Falle einer Abw</w:t>
      </w:r>
      <w:r w:rsidR="005F505A">
        <w:t xml:space="preserve">esenheit von mehr als 3 Monaten pro </w:t>
      </w:r>
      <w:r>
        <w:t>Jahr (</w:t>
      </w:r>
      <w:r w:rsidR="005F505A">
        <w:t xml:space="preserve">in </w:t>
      </w:r>
      <w:r>
        <w:t xml:space="preserve">Anlehnung an </w:t>
      </w:r>
      <w:r w:rsidR="001F54B0">
        <w:t xml:space="preserve">die </w:t>
      </w:r>
      <w:r w:rsidR="00A7416C">
        <w:t>Regelung für die Ausrichtung von Ergänzungsleistungen</w:t>
      </w:r>
      <w:r>
        <w:t xml:space="preserve">) ist also zu prüfen, ob Zürich tatsächlich </w:t>
      </w:r>
      <w:r w:rsidR="00BF1C1A">
        <w:t>wei</w:t>
      </w:r>
      <w:r>
        <w:t xml:space="preserve">terhin als Lebensmittelpunkt </w:t>
      </w:r>
      <w:r w:rsidR="00222C63">
        <w:t>gilt</w:t>
      </w:r>
      <w:r>
        <w:t xml:space="preserve"> oder ob sich dieser, für die Dauer der Abwesenheit oder darüber hinaus, an einem anderen Ort befunden hat resp. befindet. Anhaltspunkte hierzu </w:t>
      </w:r>
      <w:r w:rsidR="00BA2D78">
        <w:t>liefern</w:t>
      </w:r>
      <w:r>
        <w:t xml:space="preserve"> </w:t>
      </w:r>
      <w:r w:rsidR="00A7416C">
        <w:t>bspw.</w:t>
      </w:r>
      <w:r w:rsidR="00BA2D78">
        <w:t xml:space="preserve"> folgende Fragen</w:t>
      </w:r>
      <w:r>
        <w:t xml:space="preserve">: </w:t>
      </w:r>
    </w:p>
    <w:p w14:paraId="17EB39EC" w14:textId="77777777" w:rsidR="00855A6F" w:rsidRPr="00AF333D" w:rsidRDefault="00855A6F" w:rsidP="00855A6F">
      <w:pPr>
        <w:pStyle w:val="Absatz0"/>
        <w:rPr>
          <w:sz w:val="20"/>
        </w:rPr>
      </w:pPr>
    </w:p>
    <w:p w14:paraId="17EB39ED" w14:textId="5C2F54F1" w:rsidR="00B656E9" w:rsidRDefault="00855A6F" w:rsidP="00B656E9">
      <w:pPr>
        <w:pStyle w:val="Absatz0"/>
        <w:numPr>
          <w:ilvl w:val="0"/>
          <w:numId w:val="10"/>
        </w:numPr>
        <w:tabs>
          <w:tab w:val="clear" w:pos="720"/>
          <w:tab w:val="num" w:pos="284"/>
        </w:tabs>
        <w:ind w:left="284" w:hanging="284"/>
      </w:pPr>
      <w:r>
        <w:t>Wie lange bzw. wie oft</w:t>
      </w:r>
      <w:r w:rsidR="00E33FE1">
        <w:t xml:space="preserve"> ist/</w:t>
      </w:r>
      <w:r>
        <w:t>war die betreffende Person ortsabwesend und lassen sich diese Angaben belegen (z.B. mittels Flugtickets, getätigten Bargeldbezügen, Kreditkartenbelastungen etc.)?</w:t>
      </w:r>
    </w:p>
    <w:p w14:paraId="17EB39EE" w14:textId="77777777" w:rsidR="00D62317" w:rsidRDefault="00B656E9" w:rsidP="00D62317">
      <w:pPr>
        <w:pStyle w:val="Absatz0"/>
        <w:numPr>
          <w:ilvl w:val="0"/>
          <w:numId w:val="10"/>
        </w:numPr>
        <w:tabs>
          <w:tab w:val="clear" w:pos="720"/>
          <w:tab w:val="num" w:pos="284"/>
        </w:tabs>
        <w:ind w:left="284" w:hanging="284"/>
      </w:pPr>
      <w:r>
        <w:t>Welche Faktoren sind/waren für Zeitpunkt und Dauer der Ortsabwesenheit massgebend?</w:t>
      </w:r>
    </w:p>
    <w:p w14:paraId="17EB39EF" w14:textId="6EDC56B6" w:rsidR="00855A6F" w:rsidRDefault="00855A6F" w:rsidP="00D62317">
      <w:pPr>
        <w:pStyle w:val="Absatz0"/>
        <w:numPr>
          <w:ilvl w:val="0"/>
          <w:numId w:val="10"/>
        </w:numPr>
        <w:tabs>
          <w:tab w:val="clear" w:pos="720"/>
          <w:tab w:val="num" w:pos="284"/>
        </w:tabs>
        <w:ind w:left="284" w:hanging="284"/>
      </w:pPr>
      <w:r>
        <w:t>Welches Ziel wird/wurde mit der Ortsabwesenheit verfolgt bzw. welche Gründe führt die betreffende Person dafür an?</w:t>
      </w:r>
      <w:r w:rsidRPr="008B2D0F">
        <w:t xml:space="preserve"> </w:t>
      </w:r>
      <w:r>
        <w:t>D</w:t>
      </w:r>
      <w:r w:rsidRPr="000419B5">
        <w:t>ient</w:t>
      </w:r>
      <w:r w:rsidR="00E33FE1">
        <w:t>/</w:t>
      </w:r>
      <w:r w:rsidRPr="000419B5">
        <w:t xml:space="preserve">e </w:t>
      </w:r>
      <w:r>
        <w:t>die Reise/der Aufenthalt</w:t>
      </w:r>
      <w:r w:rsidRPr="000419B5">
        <w:t xml:space="preserve"> vorwiegend einem </w:t>
      </w:r>
      <w:r w:rsidRPr="000419B5">
        <w:lastRenderedPageBreak/>
        <w:t>bestimmten Zweck (z.B. Klärung einer Erbschaftsangelegenheit) und wurde nach dessen „Erledigung“ umgehend beendet</w:t>
      </w:r>
      <w:r>
        <w:t>?</w:t>
      </w:r>
    </w:p>
    <w:p w14:paraId="17EB39F0" w14:textId="77777777" w:rsidR="00855A6F" w:rsidRDefault="00855A6F" w:rsidP="006E0973">
      <w:pPr>
        <w:pStyle w:val="Absatz0"/>
        <w:numPr>
          <w:ilvl w:val="0"/>
          <w:numId w:val="10"/>
        </w:numPr>
        <w:tabs>
          <w:tab w:val="clear" w:pos="720"/>
          <w:tab w:val="num" w:pos="284"/>
        </w:tabs>
        <w:ind w:left="284" w:hanging="284"/>
      </w:pPr>
      <w:r>
        <w:t xml:space="preserve">Verfügt die betreffende </w:t>
      </w:r>
      <w:r w:rsidRPr="000419B5">
        <w:t>Person</w:t>
      </w:r>
      <w:r>
        <w:t xml:space="preserve"> mehrheitlich am Aufenthaltsort oder mehrheitlich in Zürich </w:t>
      </w:r>
      <w:r w:rsidRPr="000419B5">
        <w:t>über verwandtschaftliche und/oder freundschaftliche Beziehungen</w:t>
      </w:r>
      <w:r>
        <w:t>?</w:t>
      </w:r>
    </w:p>
    <w:p w14:paraId="17EB39F1" w14:textId="77777777" w:rsidR="00855A6F" w:rsidRPr="000419B5" w:rsidRDefault="00855A6F" w:rsidP="00BA2D78">
      <w:pPr>
        <w:pStyle w:val="Absatz0"/>
        <w:numPr>
          <w:ilvl w:val="0"/>
          <w:numId w:val="10"/>
        </w:numPr>
        <w:tabs>
          <w:tab w:val="clear" w:pos="720"/>
          <w:tab w:val="num" w:pos="284"/>
        </w:tabs>
        <w:ind w:left="284" w:hanging="284"/>
      </w:pPr>
      <w:r>
        <w:t>B</w:t>
      </w:r>
      <w:r w:rsidRPr="000419B5">
        <w:t xml:space="preserve">esteht </w:t>
      </w:r>
      <w:r>
        <w:t>am Aufenthaltsort</w:t>
      </w:r>
      <w:r w:rsidRPr="000419B5">
        <w:t xml:space="preserve"> eine Geschäftsbeziehung zu einer Bank? </w:t>
      </w:r>
    </w:p>
    <w:p w14:paraId="17EB39F2" w14:textId="77777777" w:rsidR="00855A6F" w:rsidRDefault="00855A6F" w:rsidP="00BA2D78">
      <w:pPr>
        <w:pStyle w:val="Absatz0"/>
        <w:numPr>
          <w:ilvl w:val="0"/>
          <w:numId w:val="10"/>
        </w:numPr>
        <w:tabs>
          <w:tab w:val="clear" w:pos="720"/>
          <w:tab w:val="num" w:pos="284"/>
        </w:tabs>
        <w:ind w:left="284" w:hanging="284"/>
      </w:pPr>
      <w:r>
        <w:t>L</w:t>
      </w:r>
      <w:r w:rsidRPr="000419B5">
        <w:t>ogiert</w:t>
      </w:r>
      <w:r>
        <w:t xml:space="preserve"> resp. logierte</w:t>
      </w:r>
      <w:r w:rsidRPr="000419B5">
        <w:t xml:space="preserve"> die betreffende Person in einer Ferienunterkunft (Hotel, Pension, Ferienwohnung) oder hält</w:t>
      </w:r>
      <w:r w:rsidR="00E33FE1">
        <w:t>/hielt</w:t>
      </w:r>
      <w:r w:rsidRPr="000419B5">
        <w:t xml:space="preserve"> sie sich </w:t>
      </w:r>
      <w:r>
        <w:t xml:space="preserve">z.B. </w:t>
      </w:r>
      <w:r w:rsidRPr="000419B5">
        <w:t>bei Verwandten, in einer familienähnlichen Gemeinschaft oder in einer eigenen Liegenschaft auf?</w:t>
      </w:r>
    </w:p>
    <w:p w14:paraId="17EB39F3" w14:textId="77777777" w:rsidR="00855A6F" w:rsidRPr="00386D4C" w:rsidRDefault="00855A6F" w:rsidP="00BA2D78">
      <w:pPr>
        <w:pStyle w:val="Absatz0"/>
        <w:tabs>
          <w:tab w:val="num" w:pos="284"/>
        </w:tabs>
        <w:ind w:left="284" w:hanging="284"/>
        <w:rPr>
          <w:sz w:val="20"/>
        </w:rPr>
      </w:pPr>
    </w:p>
    <w:p w14:paraId="17EB39F4" w14:textId="77777777" w:rsidR="00855A6F" w:rsidRPr="00D62317" w:rsidRDefault="00855A6F" w:rsidP="00855A6F">
      <w:pPr>
        <w:pStyle w:val="Absatz0"/>
      </w:pPr>
      <w:r>
        <w:t xml:space="preserve">Die Angaben der Klientin resp. des Klienten sind mittels Dokumenten zu belegen oder schriftlich und mit Unterschrift bestätigen zu lassen. </w:t>
      </w:r>
    </w:p>
    <w:p w14:paraId="17EB39F5" w14:textId="77777777" w:rsidR="00855A6F" w:rsidRDefault="00855A6F" w:rsidP="00855A6F">
      <w:pPr>
        <w:pStyle w:val="berschrift3"/>
      </w:pPr>
      <w:r>
        <w:t>Auswirkung auf die Fortführung der Unterstützung</w:t>
      </w:r>
    </w:p>
    <w:p w14:paraId="17EB39F6" w14:textId="77777777" w:rsidR="00D62317" w:rsidRPr="00D62317" w:rsidRDefault="00D62317" w:rsidP="00D62317">
      <w:pPr>
        <w:pStyle w:val="Absatz0"/>
      </w:pPr>
    </w:p>
    <w:p w14:paraId="17EB39F7" w14:textId="77777777" w:rsidR="00855A6F" w:rsidRDefault="00855A6F" w:rsidP="00855A6F">
      <w:pPr>
        <w:pStyle w:val="berschrift3"/>
        <w:numPr>
          <w:ilvl w:val="0"/>
          <w:numId w:val="13"/>
        </w:numPr>
        <w:tabs>
          <w:tab w:val="clear" w:pos="709"/>
          <w:tab w:val="left" w:pos="426"/>
        </w:tabs>
        <w:ind w:left="426" w:hanging="426"/>
      </w:pPr>
      <w:r>
        <w:t>Unterstützungsvoraussetzungen sind nachweislich nicht mehr gegeben</w:t>
      </w:r>
    </w:p>
    <w:p w14:paraId="17EB39F8" w14:textId="1C7DE68E" w:rsidR="00855A6F" w:rsidRPr="001F54B0" w:rsidRDefault="00855A6F" w:rsidP="00855A6F">
      <w:pPr>
        <w:pStyle w:val="Absatz0"/>
      </w:pPr>
      <w:r>
        <w:t xml:space="preserve">Die Ausrichtung von Sozialhilfe ist per sofort zu stoppen. Hierbei handelt es sich nicht um eine Einstellung von Leistungen gemäss § 24 a. SHG, sondern um eine Verneinung der </w:t>
      </w:r>
      <w:r w:rsidR="00B75650">
        <w:t>wei</w:t>
      </w:r>
      <w:r>
        <w:t xml:space="preserve">teren Anspruchsberechtigung (z.B. wegen fehlender Zuständigkeit der SOD). Aus diesem Grund ist kein formelles Einstellungsverfahren </w:t>
      </w:r>
      <w:r w:rsidR="00A7416C">
        <w:t>notwendig</w:t>
      </w:r>
      <w:r>
        <w:t xml:space="preserve">, sondern lediglich die Ablehnung weiterer Leistungen mittels anfechtbarer Verfügung anzuzeigen. </w:t>
      </w:r>
    </w:p>
    <w:p w14:paraId="17EB39F9" w14:textId="77777777" w:rsidR="00855A6F" w:rsidRDefault="00855A6F" w:rsidP="00855A6F">
      <w:pPr>
        <w:pStyle w:val="berschrift3"/>
        <w:numPr>
          <w:ilvl w:val="0"/>
          <w:numId w:val="13"/>
        </w:numPr>
        <w:tabs>
          <w:tab w:val="clear" w:pos="709"/>
          <w:tab w:val="left" w:pos="426"/>
        </w:tabs>
        <w:ind w:left="426" w:hanging="426"/>
      </w:pPr>
      <w:r>
        <w:t>Unterstützungsvoraussetzungen sind weiterhin gegeben</w:t>
      </w:r>
    </w:p>
    <w:p w14:paraId="17EB39FA" w14:textId="77777777" w:rsidR="00855A6F" w:rsidRDefault="00855A6F" w:rsidP="00855A6F">
      <w:pPr>
        <w:pStyle w:val="Absatz0"/>
      </w:pPr>
      <w:r>
        <w:t xml:space="preserve">Die </w:t>
      </w:r>
      <w:r w:rsidR="00483EE6">
        <w:t>Unterstützung ist</w:t>
      </w:r>
      <w:r>
        <w:t xml:space="preserve"> weiterhin gemäss dem bestehenden Bedarf, ggf. unter Einbezug</w:t>
      </w:r>
      <w:r w:rsidR="00AA6151">
        <w:t xml:space="preserve"> der unter Ziff. 3.2 erwähnten Kaufkraftanpassung </w:t>
      </w:r>
      <w:r w:rsidR="001F54B0">
        <w:t xml:space="preserve">und/oder </w:t>
      </w:r>
      <w:r>
        <w:t xml:space="preserve">der verfügten Kürzung, </w:t>
      </w:r>
      <w:r w:rsidR="00483EE6">
        <w:t>auszurichten</w:t>
      </w:r>
      <w:r>
        <w:t xml:space="preserve">. </w:t>
      </w:r>
    </w:p>
    <w:p w14:paraId="17EB39FB" w14:textId="77777777" w:rsidR="00855A6F" w:rsidRDefault="00855A6F" w:rsidP="00855A6F">
      <w:pPr>
        <w:pStyle w:val="berschrift3"/>
        <w:numPr>
          <w:ilvl w:val="0"/>
          <w:numId w:val="13"/>
        </w:numPr>
        <w:tabs>
          <w:tab w:val="clear" w:pos="709"/>
          <w:tab w:val="left" w:pos="426"/>
        </w:tabs>
        <w:ind w:left="426" w:hanging="426"/>
      </w:pPr>
      <w:r>
        <w:t>Zweifel am Fortbestand der Unterstützungsvoraussetzungen</w:t>
      </w:r>
    </w:p>
    <w:p w14:paraId="17EB39FC" w14:textId="751A7958" w:rsidR="00912B07" w:rsidRDefault="00F215AC" w:rsidP="00A127BD">
      <w:pPr>
        <w:pStyle w:val="Absatz0"/>
        <w:spacing w:after="120"/>
      </w:pPr>
      <w:r w:rsidRPr="001C4D65">
        <w:t xml:space="preserve">Der betreffenden Person ist eine </w:t>
      </w:r>
      <w:r w:rsidR="00AA6151" w:rsidRPr="001C4D65">
        <w:t xml:space="preserve">nicht anfechtbare schriftliche </w:t>
      </w:r>
      <w:r w:rsidRPr="001C4D65">
        <w:t>Auflage zu erteilen, d</w:t>
      </w:r>
      <w:r w:rsidR="00196DB6" w:rsidRPr="001C4D65">
        <w:t>ie bestehenden Zweifel mittels zusätzlichen Informationen auszuräumen. Wird dieser keine</w:t>
      </w:r>
      <w:r w:rsidR="00196DB6">
        <w:t xml:space="preserve"> Folge ge</w:t>
      </w:r>
      <w:r w:rsidR="00B75650">
        <w:t>l</w:t>
      </w:r>
      <w:r w:rsidR="00196DB6">
        <w:t xml:space="preserve">eistet oder sind die beigebrachten Belege ungenügend, ist die Ausrichtung der wirtschaftlichen Hilfe zu stoppen (analog A). Dabei ist zu beachten, dass die Zweifel am Fortbestand der Unterstützungsvoraussetzungen erheblich und begründet sein müssen. </w:t>
      </w:r>
    </w:p>
    <w:p w14:paraId="17EB39FD" w14:textId="1F0D1522" w:rsidR="00855A6F" w:rsidRPr="00D62317" w:rsidRDefault="00855A6F" w:rsidP="00855A6F">
      <w:pPr>
        <w:pStyle w:val="Absatz0"/>
      </w:pPr>
      <w:r>
        <w:t>Lassen sich die Zweifel anhand der beigebrachten Unterlagen nicht vollständig ausräumen bzw. sind eingehendere Abklärungen erforderlich, können</w:t>
      </w:r>
      <w:r w:rsidR="00196DB6">
        <w:t xml:space="preserve"> zudem</w:t>
      </w:r>
      <w:r>
        <w:t xml:space="preserve"> Aufträge an die entsprechenden Supportstellen (Team Vertiefte Abklärungen, Inspektorat) erteilt werden. </w:t>
      </w:r>
    </w:p>
    <w:p w14:paraId="17EB39FE" w14:textId="77777777" w:rsidR="00855A6F" w:rsidRDefault="00855A6F" w:rsidP="00855A6F">
      <w:pPr>
        <w:pStyle w:val="berschrift2"/>
      </w:pPr>
      <w:r>
        <w:t>Rückforderung (§ 26 SHG)</w:t>
      </w:r>
    </w:p>
    <w:p w14:paraId="17EB39FF" w14:textId="77777777" w:rsidR="00855A6F" w:rsidRDefault="00855A6F" w:rsidP="00855A6F">
      <w:pPr>
        <w:pStyle w:val="Absatz0"/>
      </w:pPr>
      <w:r>
        <w:t>Der Umfang einer Rückforderung richtet sich</w:t>
      </w:r>
      <w:r w:rsidR="00E33FE1">
        <w:t xml:space="preserve"> danach, ob während der Abwesen</w:t>
      </w:r>
      <w:r>
        <w:t xml:space="preserve">heit ein grundsätzlicher Anspruch auf Unterstützung bestanden hat oder </w:t>
      </w:r>
      <w:r w:rsidR="00F215AC">
        <w:t>nicht (s. auch Ziff. 4</w:t>
      </w:r>
      <w:r>
        <w:t>.2).</w:t>
      </w:r>
    </w:p>
    <w:p w14:paraId="17EB3A00" w14:textId="77777777" w:rsidR="00855A6F" w:rsidRPr="0066542C" w:rsidRDefault="00855A6F" w:rsidP="00855A6F">
      <w:pPr>
        <w:pStyle w:val="berschrift3"/>
      </w:pPr>
      <w:r w:rsidRPr="0066542C">
        <w:t>Unterstützungsvoraussetzungen gegeben</w:t>
      </w:r>
    </w:p>
    <w:p w14:paraId="17EB3A01" w14:textId="4EC68156" w:rsidR="00B656E9" w:rsidRDefault="00855A6F" w:rsidP="00855A6F">
      <w:pPr>
        <w:pStyle w:val="Absatz0"/>
      </w:pPr>
      <w:r>
        <w:t>Waren die Unterstützungsvoraussetzungen lücke</w:t>
      </w:r>
      <w:r w:rsidR="005F505A">
        <w:t>nlos gegeben, ist die Anspruchs</w:t>
      </w:r>
      <w:r>
        <w:t xml:space="preserve">berechtigung auch während der Dauer der Ortsabwesenheit nicht in Frage zu stellen. Eine Rückforderung gemäss § 26 SHG ist deshalb nicht rechtens. Zu beachten ist jedoch, dass es sich bei der wirtschaftlichen Hilfe um eine Bedarfsleistung handelt. War also der Bedarf der betreffenden Person während der Abwesenheit erwiesenermassen geringer (vgl. Ziff. </w:t>
      </w:r>
      <w:r w:rsidR="00F215AC">
        <w:t>3.2</w:t>
      </w:r>
      <w:r>
        <w:t xml:space="preserve">), kann eine Rückforderung im Umfang der über den Bedarf hinaus erbrachten Leistungen gestellt werden. </w:t>
      </w:r>
    </w:p>
    <w:p w14:paraId="17EB3A02" w14:textId="77777777" w:rsidR="00855A6F" w:rsidRPr="00B656E9" w:rsidRDefault="00B656E9" w:rsidP="00B656E9">
      <w:pPr>
        <w:rPr>
          <w:sz w:val="2"/>
          <w:szCs w:val="2"/>
        </w:rPr>
      </w:pPr>
      <w:r>
        <w:br w:type="page"/>
      </w:r>
    </w:p>
    <w:p w14:paraId="17EB3A03" w14:textId="77777777" w:rsidR="00855A6F" w:rsidRDefault="00855A6F" w:rsidP="00855A6F">
      <w:pPr>
        <w:pStyle w:val="berschrift3"/>
      </w:pPr>
      <w:r>
        <w:lastRenderedPageBreak/>
        <w:t>Unterstützungsvoraussetzungen nicht gegeben</w:t>
      </w:r>
    </w:p>
    <w:p w14:paraId="17EB3A04" w14:textId="61ADB4CA" w:rsidR="00855A6F" w:rsidRDefault="00855A6F" w:rsidP="00855A6F">
      <w:pPr>
        <w:pStyle w:val="Absatz0"/>
      </w:pPr>
      <w:r>
        <w:t xml:space="preserve">Waren die Unterstützungsvoraussetzungen während der Ortsabwesenheit nicht erfüllt, handelt es sich um einen unrechtmässigen Bezug von Sozialhilfeleistungen. In diesem Fall ist eine vollumfängliche Rückerstattung der ausgerichteten Leistungen gemäss § 26 </w:t>
      </w:r>
      <w:proofErr w:type="spellStart"/>
      <w:r>
        <w:t>lit</w:t>
      </w:r>
      <w:proofErr w:type="spellEnd"/>
      <w:r>
        <w:t xml:space="preserve">. a. SHG anzuordnen und ggf. die Einreichung einer Strafanzeige zu prüfen. </w:t>
      </w:r>
    </w:p>
    <w:p w14:paraId="17EB3A05" w14:textId="77777777" w:rsidR="00855A6F" w:rsidRPr="00386D4C" w:rsidRDefault="00855A6F" w:rsidP="00855A6F">
      <w:pPr>
        <w:pStyle w:val="Absatz0"/>
        <w:rPr>
          <w:sz w:val="20"/>
        </w:rPr>
      </w:pPr>
    </w:p>
    <w:p w14:paraId="17EB3A06" w14:textId="77777777" w:rsidR="00855A6F" w:rsidRDefault="00855A6F" w:rsidP="00855A6F">
      <w:pPr>
        <w:pStyle w:val="berschrift1"/>
      </w:pPr>
      <w:r>
        <w:t>Zuwendungen Dritter: Grundsatz</w:t>
      </w:r>
    </w:p>
    <w:p w14:paraId="17EB3A07" w14:textId="0A245AAD" w:rsidR="00855A6F" w:rsidRPr="00D62317" w:rsidRDefault="00855A6F" w:rsidP="00855A6F">
      <w:pPr>
        <w:pStyle w:val="Absatz0"/>
      </w:pPr>
      <w:r>
        <w:t xml:space="preserve">Bei Zuwendungen Dritter handelt es sich um Einkünfte, welche gemäss Subsidiaritätsprinzip in der </w:t>
      </w:r>
      <w:r w:rsidR="00AA6151">
        <w:t xml:space="preserve">Regel in der </w:t>
      </w:r>
      <w:r>
        <w:t xml:space="preserve">Bedarfsberechnung berücksichtigt werden müssen. Klientinnen und Klienten sind also verpflichtet, entsprechende Zahlungen gegenüber der Sozialhilfe zu deklarieren. Tun sie dies nicht, ist der Bezug von Sozialhilfe ganz oder teilweise unrechtmässig erfolgt. Die zu viel erhaltenen Sozialhilfeleistungen sind vollumfänglich zurückzuerstatten. </w:t>
      </w:r>
    </w:p>
    <w:p w14:paraId="17EB3A08" w14:textId="77777777" w:rsidR="00855A6F" w:rsidRDefault="00855A6F" w:rsidP="00855A6F">
      <w:pPr>
        <w:pStyle w:val="berschrift2"/>
      </w:pPr>
      <w:r>
        <w:t>Besonderheit: zweckgebundene Zuwendungen Dritter</w:t>
      </w:r>
    </w:p>
    <w:p w14:paraId="17EB3A09" w14:textId="15940578" w:rsidR="00855A6F" w:rsidRPr="006A21EC" w:rsidRDefault="00855A6F" w:rsidP="00855A6F">
      <w:pPr>
        <w:spacing w:after="120"/>
        <w:rPr>
          <w:szCs w:val="22"/>
        </w:rPr>
      </w:pPr>
      <w:r w:rsidRPr="006A21EC">
        <w:rPr>
          <w:szCs w:val="22"/>
        </w:rPr>
        <w:t xml:space="preserve">Zuwendungen Dritter sind </w:t>
      </w:r>
      <w:r w:rsidR="005F505A">
        <w:rPr>
          <w:szCs w:val="22"/>
        </w:rPr>
        <w:t xml:space="preserve">gemäss Behördenhandbuch des Kantons Zürich und Rechtsprechung </w:t>
      </w:r>
      <w:r w:rsidRPr="006A21EC">
        <w:rPr>
          <w:szCs w:val="22"/>
        </w:rPr>
        <w:t>grundsätzlich nicht anzurechnen, wenn sie</w:t>
      </w:r>
    </w:p>
    <w:p w14:paraId="17EB3A0A" w14:textId="77777777" w:rsidR="00855A6F" w:rsidRPr="006A21EC" w:rsidRDefault="00855A6F" w:rsidP="00855A6F">
      <w:pPr>
        <w:pStyle w:val="Listenabsatz"/>
        <w:numPr>
          <w:ilvl w:val="0"/>
          <w:numId w:val="14"/>
        </w:numPr>
        <w:ind w:left="426" w:hanging="426"/>
      </w:pPr>
      <w:r w:rsidRPr="006A21EC">
        <w:t>zweckgebunden und ausdrücklich zusätzlich zur Sozia</w:t>
      </w:r>
      <w:r>
        <w:t xml:space="preserve">lhilfe </w:t>
      </w:r>
      <w:r w:rsidR="00EA777F">
        <w:t>entrichtet</w:t>
      </w:r>
      <w:r>
        <w:t xml:space="preserve"> worden sind</w:t>
      </w:r>
      <w:r w:rsidRPr="006A21EC">
        <w:t xml:space="preserve"> </w:t>
      </w:r>
      <w:r w:rsidR="00EA777F">
        <w:br/>
      </w:r>
      <w:r w:rsidRPr="006A21EC">
        <w:t xml:space="preserve">(bei einer Anrechnung an den Lebensunterhalt </w:t>
      </w:r>
      <w:r w:rsidR="00EA777F">
        <w:t xml:space="preserve">also </w:t>
      </w:r>
      <w:r w:rsidRPr="006A21EC">
        <w:t xml:space="preserve">nicht </w:t>
      </w:r>
      <w:r w:rsidR="00EA777F">
        <w:t>erbracht worden wären</w:t>
      </w:r>
      <w:r w:rsidRPr="006A21EC">
        <w:t xml:space="preserve">), </w:t>
      </w:r>
    </w:p>
    <w:p w14:paraId="17EB3A0B" w14:textId="77777777" w:rsidR="00855A6F" w:rsidRPr="006A21EC" w:rsidRDefault="00855A6F" w:rsidP="00855A6F">
      <w:pPr>
        <w:pStyle w:val="Listenabsatz"/>
        <w:numPr>
          <w:ilvl w:val="0"/>
          <w:numId w:val="14"/>
        </w:numPr>
        <w:ind w:left="426" w:hanging="426"/>
      </w:pPr>
      <w:r w:rsidRPr="006A21EC">
        <w:t>gemäss dem vorgesehen Zweck verwendet werden bzw. wurden und</w:t>
      </w:r>
    </w:p>
    <w:p w14:paraId="17EB3A0C" w14:textId="77777777" w:rsidR="00855A6F" w:rsidRPr="006A21EC" w:rsidRDefault="00855A6F" w:rsidP="00855A6F">
      <w:pPr>
        <w:pStyle w:val="Listenabsatz"/>
        <w:numPr>
          <w:ilvl w:val="0"/>
          <w:numId w:val="14"/>
        </w:numPr>
        <w:ind w:left="426" w:hanging="426"/>
      </w:pPr>
      <w:r w:rsidRPr="006A21EC">
        <w:t xml:space="preserve">sich in einem relativ bescheidenen Umfang halten. </w:t>
      </w:r>
    </w:p>
    <w:p w14:paraId="17EB3A0D" w14:textId="77777777" w:rsidR="00855A6F" w:rsidRPr="00386D4C" w:rsidRDefault="00855A6F" w:rsidP="00855A6F">
      <w:pPr>
        <w:pStyle w:val="Absatz0"/>
        <w:ind w:left="426" w:hanging="426"/>
        <w:rPr>
          <w:sz w:val="20"/>
        </w:rPr>
      </w:pPr>
    </w:p>
    <w:p w14:paraId="17EB3A0E" w14:textId="7459A986" w:rsidR="00855A6F" w:rsidRDefault="00855A6F" w:rsidP="00855A6F">
      <w:pPr>
        <w:pStyle w:val="Absatz0"/>
      </w:pPr>
      <w:r>
        <w:t>Erhalten Klientinnen und/oder Klienten also für Aufwendungen wie Reise, Unterkunft etc. zweckgebundene Zuwendungen Dritter und setzen sie diese auch tatsächlich für den vorgesehenen Zweck ein, sind die entsprechenden Gelder in der Budgetberechnung nicht als Einkünfte zu berücksichtigen. Voraussetzung ist, dass sich die Höhe der Zuwendungen in ei</w:t>
      </w:r>
      <w:r w:rsidR="005F505A">
        <w:t>nem angemessenen Rahmen bewegt</w:t>
      </w:r>
      <w:r w:rsidR="006D3CC9">
        <w:t xml:space="preserve"> (keine Finanzierung von </w:t>
      </w:r>
      <w:r w:rsidR="00EA777F">
        <w:t>„</w:t>
      </w:r>
      <w:r w:rsidR="006D3CC9">
        <w:t>Luxusferien</w:t>
      </w:r>
      <w:r w:rsidR="00EA777F">
        <w:t>“</w:t>
      </w:r>
      <w:r w:rsidR="006D3CC9">
        <w:t xml:space="preserve">). </w:t>
      </w:r>
    </w:p>
    <w:p w14:paraId="17EB3A0F" w14:textId="77777777" w:rsidR="00855A6F" w:rsidRPr="00386D4C" w:rsidRDefault="00855A6F" w:rsidP="00855A6F">
      <w:pPr>
        <w:pStyle w:val="Absatz0"/>
        <w:rPr>
          <w:sz w:val="20"/>
        </w:rPr>
      </w:pPr>
    </w:p>
    <w:p w14:paraId="17EB3A10" w14:textId="7468C5E1" w:rsidR="00EA122A" w:rsidRDefault="00855A6F">
      <w:pPr>
        <w:pStyle w:val="Absatz0"/>
      </w:pPr>
      <w:r>
        <w:t>Für die Klärung der Frage, ob Zuwendungen Dritter als Einkünfte anzurechnen bzw. rückerstattungspflichtig sind, ist es an sich unerheblich, ob diese gegenüber der WSH ordnungs</w:t>
      </w:r>
      <w:r w:rsidR="000649DF">
        <w:softHyphen/>
      </w:r>
      <w:r>
        <w:t xml:space="preserve">gemäss deklariert worden sind oder nicht. </w:t>
      </w:r>
      <w:r w:rsidR="00AA6151">
        <w:t xml:space="preserve">Ebenfalls unerheblich ist, ob die Zuwendung in Form von Geld oder in Form einer Sachleistung (z.B. Flugticket) erfolgt ist. </w:t>
      </w:r>
      <w:r>
        <w:t>Massgebend sind lediglich d</w:t>
      </w:r>
      <w:r w:rsidR="002F19C6">
        <w:t xml:space="preserve">ie oben angeführten Kriterien. </w:t>
      </w:r>
    </w:p>
    <w:sectPr w:rsidR="00EA122A" w:rsidSect="003415A9">
      <w:headerReference w:type="default" r:id="rId27"/>
      <w:footerReference w:type="default" r:id="rId28"/>
      <w:headerReference w:type="first" r:id="rId29"/>
      <w:footerReference w:type="first" r:id="rId30"/>
      <w:type w:val="continuous"/>
      <w:pgSz w:w="11906" w:h="16838" w:code="9"/>
      <w:pgMar w:top="1985" w:right="1134" w:bottom="567"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B3A16" w14:textId="77777777" w:rsidR="000D2FE2" w:rsidRDefault="000D2FE2">
      <w:r>
        <w:separator/>
      </w:r>
    </w:p>
    <w:p w14:paraId="17EB3A17" w14:textId="77777777" w:rsidR="000D2FE2" w:rsidRDefault="000D2FE2"/>
  </w:endnote>
  <w:endnote w:type="continuationSeparator" w:id="0">
    <w:p w14:paraId="17EB3A18" w14:textId="77777777" w:rsidR="000D2FE2" w:rsidRDefault="000D2FE2">
      <w:r>
        <w:continuationSeparator/>
      </w:r>
    </w:p>
    <w:p w14:paraId="17EB3A19" w14:textId="77777777" w:rsidR="000D2FE2" w:rsidRDefault="000D2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1081" w14:textId="77777777" w:rsidR="00F77C8C" w:rsidRDefault="00F77C8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0D2FE2" w14:paraId="17EB3A28" w14:textId="77777777">
      <w:trPr>
        <w:trHeight w:val="284"/>
      </w:trPr>
      <w:tc>
        <w:tcPr>
          <w:tcW w:w="5063" w:type="dxa"/>
        </w:tcPr>
        <w:p w14:paraId="17EB3A25" w14:textId="146285CC" w:rsidR="000D2FE2" w:rsidRDefault="009D7FEA">
          <w:pPr>
            <w:pStyle w:val="Fuzeile"/>
            <w:tabs>
              <w:tab w:val="clear" w:pos="4536"/>
              <w:tab w:val="clear" w:pos="9072"/>
              <w:tab w:val="right" w:pos="8504"/>
            </w:tabs>
            <w:rPr>
              <w:sz w:val="17"/>
            </w:rPr>
          </w:pPr>
          <w:fldSimple w:instr=" FILENAME  \* MERGEFORMAT ">
            <w:r w:rsidR="000D2FE2" w:rsidRPr="0062103F">
              <w:rPr>
                <w:noProof/>
                <w:sz w:val="17"/>
              </w:rPr>
              <w:t>PRA_Umgang_mit_Ferien_und_</w:t>
            </w:r>
            <w:r w:rsidR="000D2FE2">
              <w:rPr>
                <w:noProof/>
              </w:rPr>
              <w:t>Abwesenheiten_mmm.docx</w:t>
            </w:r>
          </w:fldSimple>
        </w:p>
      </w:tc>
      <w:tc>
        <w:tcPr>
          <w:tcW w:w="1430" w:type="dxa"/>
        </w:tcPr>
        <w:p w14:paraId="17EB3A26" w14:textId="77777777" w:rsidR="000D2FE2" w:rsidRDefault="000D2FE2">
          <w:pPr>
            <w:pStyle w:val="Fuzeile"/>
            <w:tabs>
              <w:tab w:val="clear" w:pos="4536"/>
              <w:tab w:val="clear" w:pos="9072"/>
              <w:tab w:val="right" w:pos="8504"/>
            </w:tabs>
            <w:jc w:val="center"/>
            <w:rPr>
              <w:sz w:val="17"/>
            </w:rPr>
          </w:pPr>
        </w:p>
      </w:tc>
      <w:tc>
        <w:tcPr>
          <w:tcW w:w="2640" w:type="dxa"/>
        </w:tcPr>
        <w:p w14:paraId="17EB3A27" w14:textId="77777777" w:rsidR="000D2FE2" w:rsidRDefault="000D2FE2">
          <w:pPr>
            <w:pStyle w:val="Fuzeile"/>
            <w:tabs>
              <w:tab w:val="clear" w:pos="4536"/>
              <w:tab w:val="clear" w:pos="9072"/>
              <w:tab w:val="right" w:pos="8504"/>
            </w:tabs>
            <w:jc w:val="center"/>
            <w:rPr>
              <w:sz w:val="17"/>
              <w:lang w:val="de-DE"/>
            </w:rPr>
          </w:pPr>
        </w:p>
      </w:tc>
    </w:tr>
  </w:tbl>
  <w:p w14:paraId="17EB3A29" w14:textId="77777777" w:rsidR="000D2FE2" w:rsidRDefault="000D2FE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2"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031"/>
      <w:gridCol w:w="3118"/>
    </w:tblGrid>
    <w:tr w:rsidR="000D2FE2" w14:paraId="17EB3A34" w14:textId="77777777" w:rsidTr="005B615F">
      <w:trPr>
        <w:trHeight w:val="284"/>
      </w:trPr>
      <w:tc>
        <w:tcPr>
          <w:tcW w:w="5063" w:type="dxa"/>
        </w:tcPr>
        <w:p w14:paraId="17EB3A31" w14:textId="198C1C11" w:rsidR="000D2FE2" w:rsidRDefault="00C778C1" w:rsidP="00C778C1">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PRA_Umgang_mit_Ferien_und_Abwesenheiten.docx</w:t>
          </w:r>
          <w:r>
            <w:rPr>
              <w:sz w:val="17"/>
            </w:rPr>
            <w:fldChar w:fldCharType="end"/>
          </w:r>
          <w:r w:rsidRPr="00C778C1">
            <w:rPr>
              <w:sz w:val="17"/>
            </w:rPr>
            <w:t xml:space="preserve"> </w:t>
          </w:r>
        </w:p>
      </w:tc>
      <w:tc>
        <w:tcPr>
          <w:tcW w:w="1031" w:type="dxa"/>
        </w:tcPr>
        <w:p w14:paraId="17EB3A32" w14:textId="036818F6" w:rsidR="000D2FE2" w:rsidRDefault="000D2FE2" w:rsidP="00855A6F">
          <w:pPr>
            <w:pStyle w:val="Fuzeile"/>
            <w:tabs>
              <w:tab w:val="clear" w:pos="4536"/>
              <w:tab w:val="clear" w:pos="9072"/>
              <w:tab w:val="right" w:pos="8504"/>
            </w:tabs>
            <w:ind w:right="113"/>
            <w:jc w:val="center"/>
            <w:rPr>
              <w:sz w:val="17"/>
            </w:rPr>
          </w:pPr>
          <w:r>
            <w:rPr>
              <w:sz w:val="17"/>
            </w:rPr>
            <w:t>Version 1.</w:t>
          </w:r>
          <w:r w:rsidR="00DA3D3A">
            <w:rPr>
              <w:sz w:val="17"/>
            </w:rPr>
            <w:t>3</w:t>
          </w:r>
        </w:p>
      </w:tc>
      <w:tc>
        <w:tcPr>
          <w:tcW w:w="3118" w:type="dxa"/>
        </w:tcPr>
        <w:p w14:paraId="17EB3A33" w14:textId="7A3CB186" w:rsidR="000D2FE2" w:rsidRDefault="001B1A4D" w:rsidP="00F77C8C">
          <w:pPr>
            <w:pStyle w:val="Fuzeile"/>
            <w:tabs>
              <w:tab w:val="clear" w:pos="4536"/>
              <w:tab w:val="clear" w:pos="9072"/>
              <w:tab w:val="right" w:pos="8504"/>
            </w:tabs>
            <w:ind w:left="-119" w:right="-198"/>
            <w:jc w:val="center"/>
            <w:rPr>
              <w:sz w:val="17"/>
              <w:lang w:val="de-DE"/>
            </w:rPr>
          </w:pPr>
          <w:r>
            <w:rPr>
              <w:sz w:val="17"/>
              <w:lang w:val="de-DE"/>
            </w:rPr>
            <w:t xml:space="preserve">                               </w:t>
          </w:r>
          <w:proofErr w:type="spellStart"/>
          <w:r w:rsidR="00F77C8C">
            <w:rPr>
              <w:sz w:val="17"/>
              <w:lang w:val="de-DE"/>
            </w:rPr>
            <w:t>VerfasserIn</w:t>
          </w:r>
          <w:proofErr w:type="spellEnd"/>
          <w:r w:rsidR="00F77C8C">
            <w:rPr>
              <w:sz w:val="17"/>
              <w:lang w:val="de-DE"/>
            </w:rPr>
            <w:t>: FS-</w:t>
          </w:r>
          <w:r w:rsidR="000D2FE2">
            <w:rPr>
              <w:sz w:val="17"/>
              <w:lang w:val="de-DE"/>
            </w:rPr>
            <w:t>WH</w:t>
          </w:r>
        </w:p>
      </w:tc>
    </w:tr>
    <w:tr w:rsidR="000D2FE2" w14:paraId="5441D41B" w14:textId="77777777" w:rsidTr="000D2FE2">
      <w:trPr>
        <w:trHeight w:val="284"/>
      </w:trPr>
      <w:tc>
        <w:tcPr>
          <w:tcW w:w="9212" w:type="dxa"/>
          <w:gridSpan w:val="3"/>
        </w:tcPr>
        <w:p w14:paraId="7A59709B" w14:textId="4FB5A962" w:rsidR="000D2FE2" w:rsidRDefault="000D2FE2" w:rsidP="00DA3D3A">
          <w:pPr>
            <w:pStyle w:val="Fuzeile"/>
            <w:tabs>
              <w:tab w:val="clear" w:pos="4536"/>
              <w:tab w:val="clear" w:pos="9072"/>
              <w:tab w:val="right" w:pos="8504"/>
            </w:tabs>
            <w:ind w:left="-5" w:right="-198"/>
            <w:rPr>
              <w:sz w:val="17"/>
              <w:lang w:val="de-DE"/>
            </w:rPr>
          </w:pPr>
          <w:r>
            <w:rPr>
              <w:sz w:val="17"/>
              <w:lang w:val="de-DE"/>
            </w:rPr>
            <w:t>© Copyright</w:t>
          </w:r>
          <w:r w:rsidR="00DA3D3A">
            <w:rPr>
              <w:sz w:val="17"/>
              <w:lang w:val="de-DE"/>
            </w:rPr>
            <w:t>:</w:t>
          </w:r>
          <w:r>
            <w:rPr>
              <w:sz w:val="17"/>
              <w:lang w:val="de-DE"/>
            </w:rPr>
            <w:t xml:space="preserve"> Soziale Dienste. Eine Weiterverwendung ist nur mit dem Zusatz «Soziale Dienste Stadt Zürich» erlaubt.</w:t>
          </w:r>
        </w:p>
      </w:tc>
    </w:tr>
  </w:tbl>
  <w:p w14:paraId="17EB3A35" w14:textId="77777777" w:rsidR="000D2FE2" w:rsidRDefault="000D2FE2" w:rsidP="005B615F">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0D2FE2" w14:paraId="17EB3A42" w14:textId="77777777">
      <w:trPr>
        <w:trHeight w:val="284"/>
      </w:trPr>
      <w:tc>
        <w:tcPr>
          <w:tcW w:w="5063" w:type="dxa"/>
        </w:tcPr>
        <w:p w14:paraId="17EB3A3F" w14:textId="5331E6C8" w:rsidR="000D2FE2" w:rsidRDefault="00C778C1">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PRA_Umgang_mit_Ferien_und_Abwesenheiten.docx</w:t>
          </w:r>
          <w:r>
            <w:rPr>
              <w:sz w:val="17"/>
            </w:rPr>
            <w:fldChar w:fldCharType="end"/>
          </w:r>
        </w:p>
      </w:tc>
      <w:tc>
        <w:tcPr>
          <w:tcW w:w="1430" w:type="dxa"/>
        </w:tcPr>
        <w:p w14:paraId="17EB3A40" w14:textId="77777777" w:rsidR="000D2FE2" w:rsidRDefault="000D2FE2">
          <w:pPr>
            <w:pStyle w:val="Fuzeile"/>
            <w:tabs>
              <w:tab w:val="clear" w:pos="4536"/>
              <w:tab w:val="clear" w:pos="9072"/>
              <w:tab w:val="right" w:pos="8504"/>
            </w:tabs>
            <w:jc w:val="center"/>
            <w:rPr>
              <w:sz w:val="17"/>
            </w:rPr>
          </w:pPr>
        </w:p>
      </w:tc>
      <w:tc>
        <w:tcPr>
          <w:tcW w:w="2640" w:type="dxa"/>
        </w:tcPr>
        <w:p w14:paraId="17EB3A41" w14:textId="77777777" w:rsidR="000D2FE2" w:rsidRDefault="000D2FE2">
          <w:pPr>
            <w:pStyle w:val="Fuzeile"/>
            <w:tabs>
              <w:tab w:val="clear" w:pos="4536"/>
              <w:tab w:val="clear" w:pos="9072"/>
              <w:tab w:val="right" w:pos="8504"/>
            </w:tabs>
            <w:jc w:val="center"/>
            <w:rPr>
              <w:sz w:val="17"/>
              <w:lang w:val="de-DE"/>
            </w:rPr>
          </w:pPr>
        </w:p>
      </w:tc>
    </w:tr>
  </w:tbl>
  <w:p w14:paraId="17EB3A43" w14:textId="77777777" w:rsidR="000D2FE2" w:rsidRDefault="000D2FE2">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75"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172"/>
      <w:gridCol w:w="2640"/>
    </w:tblGrid>
    <w:tr w:rsidR="000D2FE2" w14:paraId="17EB3A4E" w14:textId="77777777" w:rsidTr="000D2FE2">
      <w:trPr>
        <w:trHeight w:val="284"/>
      </w:trPr>
      <w:tc>
        <w:tcPr>
          <w:tcW w:w="5063" w:type="dxa"/>
        </w:tcPr>
        <w:p w14:paraId="17EB3A4B" w14:textId="77777777" w:rsidR="000D2FE2" w:rsidRDefault="000D2FE2">
          <w:pPr>
            <w:pStyle w:val="Fuzeile"/>
            <w:tabs>
              <w:tab w:val="clear" w:pos="4536"/>
              <w:tab w:val="clear" w:pos="9072"/>
              <w:tab w:val="right" w:pos="8504"/>
            </w:tabs>
            <w:rPr>
              <w:sz w:val="17"/>
            </w:rPr>
          </w:pPr>
          <w:r>
            <w:rPr>
              <w:sz w:val="17"/>
            </w:rPr>
            <w:t>PRA Umgang mit (Ferien-)Abwesenheiten</w:t>
          </w:r>
        </w:p>
      </w:tc>
      <w:tc>
        <w:tcPr>
          <w:tcW w:w="1172" w:type="dxa"/>
        </w:tcPr>
        <w:p w14:paraId="17EB3A4C" w14:textId="77777777" w:rsidR="000D2FE2" w:rsidRDefault="000D2FE2">
          <w:pPr>
            <w:pStyle w:val="Fuzeile"/>
            <w:tabs>
              <w:tab w:val="clear" w:pos="4536"/>
              <w:tab w:val="clear" w:pos="9072"/>
              <w:tab w:val="right" w:pos="8504"/>
            </w:tabs>
            <w:jc w:val="center"/>
            <w:rPr>
              <w:sz w:val="17"/>
            </w:rPr>
          </w:pPr>
          <w:r>
            <w:rPr>
              <w:sz w:val="17"/>
            </w:rPr>
            <w:t xml:space="preserve">Version </w:t>
          </w:r>
        </w:p>
      </w:tc>
      <w:tc>
        <w:tcPr>
          <w:tcW w:w="2640" w:type="dxa"/>
        </w:tcPr>
        <w:p w14:paraId="17EB3A4D" w14:textId="77777777" w:rsidR="000D2FE2" w:rsidRDefault="000D2FE2" w:rsidP="000D2FE2">
          <w:pPr>
            <w:pStyle w:val="Fuzeile"/>
            <w:tabs>
              <w:tab w:val="clear" w:pos="4536"/>
              <w:tab w:val="clear" w:pos="9072"/>
              <w:tab w:val="right" w:pos="8504"/>
            </w:tabs>
            <w:jc w:val="center"/>
            <w:rPr>
              <w:sz w:val="17"/>
              <w:lang w:val="de-DE"/>
            </w:rPr>
          </w:pPr>
          <w:proofErr w:type="spellStart"/>
          <w:r>
            <w:rPr>
              <w:sz w:val="17"/>
              <w:lang w:val="de-DE"/>
            </w:rPr>
            <w:t>VerfasserIn</w:t>
          </w:r>
          <w:proofErr w:type="spellEnd"/>
          <w:r>
            <w:rPr>
              <w:sz w:val="17"/>
              <w:lang w:val="de-DE"/>
            </w:rPr>
            <w:t xml:space="preserve">: Fachsupport Team FG </w:t>
          </w:r>
        </w:p>
      </w:tc>
    </w:tr>
  </w:tbl>
  <w:p w14:paraId="17EB3A4F" w14:textId="77777777" w:rsidR="000D2FE2" w:rsidRDefault="000D2FE2"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B3A12" w14:textId="77777777" w:rsidR="000D2FE2" w:rsidRDefault="000D2FE2">
      <w:r>
        <w:separator/>
      </w:r>
    </w:p>
    <w:p w14:paraId="17EB3A13" w14:textId="77777777" w:rsidR="000D2FE2" w:rsidRDefault="000D2FE2"/>
  </w:footnote>
  <w:footnote w:type="continuationSeparator" w:id="0">
    <w:p w14:paraId="17EB3A14" w14:textId="77777777" w:rsidR="000D2FE2" w:rsidRDefault="000D2FE2">
      <w:r>
        <w:continuationSeparator/>
      </w:r>
    </w:p>
    <w:p w14:paraId="17EB3A15" w14:textId="77777777" w:rsidR="000D2FE2" w:rsidRDefault="000D2FE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B8AF9" w14:textId="77777777" w:rsidR="00F77C8C" w:rsidRDefault="00F77C8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0D2FE2" w14:paraId="17EB3A1E" w14:textId="77777777">
      <w:tc>
        <w:tcPr>
          <w:tcW w:w="7257" w:type="dxa"/>
          <w:gridSpan w:val="2"/>
        </w:tcPr>
        <w:p w14:paraId="17EB3A1B" w14:textId="77777777" w:rsidR="000D2FE2" w:rsidRDefault="000D2FE2">
          <w:pPr>
            <w:pStyle w:val="Kopfzeile"/>
            <w:tabs>
              <w:tab w:val="clear" w:pos="4536"/>
              <w:tab w:val="clear" w:pos="9072"/>
            </w:tabs>
            <w:rPr>
              <w:szCs w:val="22"/>
            </w:rPr>
          </w:pPr>
          <w:r>
            <w:rPr>
              <w:noProof/>
              <w:szCs w:val="22"/>
              <w:lang w:eastAsia="de-CH"/>
            </w:rPr>
            <w:drawing>
              <wp:inline distT="0" distB="0" distL="0" distR="0" wp14:anchorId="17EB3A50" wp14:editId="17EB3A51">
                <wp:extent cx="1352550" cy="276225"/>
                <wp:effectExtent l="0" t="0" r="0" b="9525"/>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17EB3A1C" w14:textId="77777777" w:rsidR="000D2FE2" w:rsidRDefault="000D2FE2">
          <w:pPr>
            <w:pStyle w:val="Kopfzeile"/>
            <w:tabs>
              <w:tab w:val="clear" w:pos="4536"/>
              <w:tab w:val="clear" w:pos="9072"/>
            </w:tabs>
            <w:rPr>
              <w:szCs w:val="22"/>
            </w:rPr>
          </w:pPr>
        </w:p>
      </w:tc>
      <w:tc>
        <w:tcPr>
          <w:tcW w:w="2495" w:type="dxa"/>
        </w:tcPr>
        <w:p w14:paraId="17EB3A1D" w14:textId="77777777" w:rsidR="000D2FE2" w:rsidRDefault="000D2FE2">
          <w:pPr>
            <w:pStyle w:val="Kopfzeile"/>
            <w:tabs>
              <w:tab w:val="clear" w:pos="4536"/>
              <w:tab w:val="clear" w:pos="9072"/>
            </w:tabs>
            <w:rPr>
              <w:sz w:val="17"/>
              <w:szCs w:val="17"/>
            </w:rPr>
          </w:pPr>
        </w:p>
      </w:tc>
    </w:tr>
    <w:tr w:rsidR="000D2FE2" w14:paraId="17EB3A21" w14:textId="77777777">
      <w:trPr>
        <w:trHeight w:val="210"/>
      </w:trPr>
      <w:tc>
        <w:tcPr>
          <w:tcW w:w="680" w:type="dxa"/>
        </w:tcPr>
        <w:p w14:paraId="17EB3A1F" w14:textId="77777777" w:rsidR="000D2FE2" w:rsidRDefault="000D2FE2">
          <w:pPr>
            <w:pStyle w:val="Kopfzeile"/>
          </w:pPr>
        </w:p>
      </w:tc>
      <w:tc>
        <w:tcPr>
          <w:tcW w:w="9072" w:type="dxa"/>
          <w:gridSpan w:val="2"/>
        </w:tcPr>
        <w:p w14:paraId="17EB3A20" w14:textId="77777777" w:rsidR="000D2FE2" w:rsidRDefault="000D2FE2">
          <w:pPr>
            <w:pStyle w:val="Kopfzeile"/>
          </w:pPr>
          <w:r>
            <w:fldChar w:fldCharType="begin"/>
          </w:r>
          <w:r>
            <w:instrText xml:space="preserve"> PAGE   \* MERGEFORMAT </w:instrText>
          </w:r>
          <w:r>
            <w:fldChar w:fldCharType="separate"/>
          </w:r>
          <w:r>
            <w:rPr>
              <w:noProof/>
            </w:rPr>
            <w:t>2</w:t>
          </w:r>
          <w:r>
            <w:fldChar w:fldCharType="end"/>
          </w:r>
          <w:r>
            <w:t>/</w:t>
          </w:r>
          <w:fldSimple w:instr=" NUMPAGES   \* MERGEFORMAT ">
            <w:r>
              <w:rPr>
                <w:noProof/>
              </w:rPr>
              <w:t>5</w:t>
            </w:r>
          </w:fldSimple>
        </w:p>
      </w:tc>
    </w:tr>
  </w:tbl>
  <w:p w14:paraId="17EB3A22" w14:textId="77777777" w:rsidR="000D2FE2" w:rsidRDefault="000D2FE2">
    <w:pPr>
      <w:pStyle w:val="Kopfzeile"/>
      <w:tabs>
        <w:tab w:val="clear" w:pos="4536"/>
        <w:tab w:val="clear" w:pos="9072"/>
      </w:tabs>
      <w:rPr>
        <w:sz w:val="2"/>
      </w:rPr>
    </w:pPr>
  </w:p>
  <w:p w14:paraId="17EB3A23" w14:textId="77777777" w:rsidR="000D2FE2" w:rsidRDefault="000D2FE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0D2FE2" w14:paraId="17EB3A2C" w14:textId="77777777">
      <w:tc>
        <w:tcPr>
          <w:tcW w:w="7257" w:type="dxa"/>
        </w:tcPr>
        <w:p w14:paraId="17EB3A2A" w14:textId="77777777" w:rsidR="000D2FE2" w:rsidRDefault="000D2FE2">
          <w:pPr>
            <w:pStyle w:val="Kopfzeile"/>
            <w:tabs>
              <w:tab w:val="clear" w:pos="4536"/>
              <w:tab w:val="clear" w:pos="9072"/>
            </w:tabs>
            <w:rPr>
              <w:szCs w:val="22"/>
            </w:rPr>
          </w:pPr>
          <w:r>
            <w:rPr>
              <w:noProof/>
              <w:szCs w:val="22"/>
              <w:lang w:eastAsia="de-CH"/>
            </w:rPr>
            <w:drawing>
              <wp:inline distT="0" distB="0" distL="0" distR="0" wp14:anchorId="17EB3A52" wp14:editId="17EB3A53">
                <wp:extent cx="1352550" cy="276225"/>
                <wp:effectExtent l="0" t="0" r="0" b="9525"/>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17EB3A2B" w14:textId="77777777" w:rsidR="000D2FE2" w:rsidRDefault="000D2FE2">
          <w:pPr>
            <w:pStyle w:val="Kopfzeile"/>
            <w:tabs>
              <w:tab w:val="clear" w:pos="4536"/>
              <w:tab w:val="clear" w:pos="9072"/>
            </w:tabs>
            <w:rPr>
              <w:sz w:val="17"/>
              <w:szCs w:val="17"/>
            </w:rPr>
          </w:pPr>
        </w:p>
      </w:tc>
    </w:tr>
    <w:tr w:rsidR="000D2FE2" w14:paraId="17EB3A2F" w14:textId="77777777">
      <w:tc>
        <w:tcPr>
          <w:tcW w:w="7257" w:type="dxa"/>
        </w:tcPr>
        <w:p w14:paraId="17EB3A2D" w14:textId="77777777" w:rsidR="000D2FE2" w:rsidRDefault="000D2FE2">
          <w:pPr>
            <w:pStyle w:val="Kopfzeile"/>
            <w:tabs>
              <w:tab w:val="clear" w:pos="4536"/>
              <w:tab w:val="clear" w:pos="9072"/>
            </w:tabs>
            <w:rPr>
              <w:szCs w:val="22"/>
            </w:rPr>
          </w:pPr>
        </w:p>
      </w:tc>
      <w:tc>
        <w:tcPr>
          <w:tcW w:w="2495" w:type="dxa"/>
        </w:tcPr>
        <w:p w14:paraId="17EB3A2E" w14:textId="77777777" w:rsidR="000D2FE2" w:rsidRDefault="000D2FE2">
          <w:pPr>
            <w:pStyle w:val="Kopfzeile"/>
            <w:tabs>
              <w:tab w:val="clear" w:pos="4536"/>
              <w:tab w:val="clear" w:pos="9072"/>
            </w:tabs>
            <w:rPr>
              <w:noProof/>
              <w:sz w:val="17"/>
              <w:szCs w:val="17"/>
              <w:lang w:val="de-DE"/>
            </w:rPr>
          </w:pPr>
        </w:p>
      </w:tc>
    </w:tr>
  </w:tbl>
  <w:p w14:paraId="17EB3A30" w14:textId="77777777" w:rsidR="000D2FE2" w:rsidRDefault="000D2FE2">
    <w:pPr>
      <w:pStyle w:val="Kopfzeile"/>
      <w:tabs>
        <w:tab w:val="clear" w:pos="4536"/>
        <w:tab w:val="clear" w:pos="9072"/>
      </w:tabs>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0D2FE2" w14:paraId="17EB3A39" w14:textId="77777777">
      <w:tc>
        <w:tcPr>
          <w:tcW w:w="7257" w:type="dxa"/>
          <w:gridSpan w:val="2"/>
        </w:tcPr>
        <w:p w14:paraId="17EB3A36" w14:textId="77777777" w:rsidR="000D2FE2" w:rsidRDefault="000D2FE2">
          <w:pPr>
            <w:pStyle w:val="Kopfzeile"/>
            <w:tabs>
              <w:tab w:val="clear" w:pos="4536"/>
              <w:tab w:val="clear" w:pos="9072"/>
            </w:tabs>
            <w:rPr>
              <w:szCs w:val="22"/>
            </w:rPr>
          </w:pPr>
          <w:r>
            <w:rPr>
              <w:noProof/>
              <w:szCs w:val="22"/>
              <w:lang w:eastAsia="de-CH"/>
            </w:rPr>
            <w:drawing>
              <wp:inline distT="0" distB="0" distL="0" distR="0" wp14:anchorId="17EB3A54" wp14:editId="17EB3A55">
                <wp:extent cx="1356360" cy="274320"/>
                <wp:effectExtent l="0" t="0" r="0" b="0"/>
                <wp:docPr id="4"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274320"/>
                        </a:xfrm>
                        <a:prstGeom prst="rect">
                          <a:avLst/>
                        </a:prstGeom>
                        <a:noFill/>
                        <a:ln>
                          <a:noFill/>
                        </a:ln>
                      </pic:spPr>
                    </pic:pic>
                  </a:graphicData>
                </a:graphic>
              </wp:inline>
            </w:drawing>
          </w:r>
        </w:p>
        <w:p w14:paraId="17EB3A37" w14:textId="77777777" w:rsidR="000D2FE2" w:rsidRDefault="000D2FE2">
          <w:pPr>
            <w:pStyle w:val="Kopfzeile"/>
            <w:tabs>
              <w:tab w:val="clear" w:pos="4536"/>
              <w:tab w:val="clear" w:pos="9072"/>
            </w:tabs>
            <w:rPr>
              <w:szCs w:val="22"/>
            </w:rPr>
          </w:pPr>
        </w:p>
      </w:tc>
      <w:tc>
        <w:tcPr>
          <w:tcW w:w="2495" w:type="dxa"/>
        </w:tcPr>
        <w:p w14:paraId="17EB3A38" w14:textId="77777777" w:rsidR="000D2FE2" w:rsidRDefault="000D2FE2">
          <w:pPr>
            <w:pStyle w:val="Kopfzeile"/>
            <w:tabs>
              <w:tab w:val="clear" w:pos="4536"/>
              <w:tab w:val="clear" w:pos="9072"/>
            </w:tabs>
            <w:rPr>
              <w:sz w:val="17"/>
              <w:szCs w:val="17"/>
            </w:rPr>
          </w:pPr>
        </w:p>
      </w:tc>
    </w:tr>
    <w:tr w:rsidR="000D2FE2" w14:paraId="17EB3A3C" w14:textId="77777777">
      <w:trPr>
        <w:trHeight w:val="210"/>
      </w:trPr>
      <w:tc>
        <w:tcPr>
          <w:tcW w:w="680" w:type="dxa"/>
        </w:tcPr>
        <w:p w14:paraId="17EB3A3A" w14:textId="77777777" w:rsidR="000D2FE2" w:rsidRDefault="000D2FE2">
          <w:pPr>
            <w:pStyle w:val="Kopfzeile"/>
          </w:pPr>
        </w:p>
      </w:tc>
      <w:tc>
        <w:tcPr>
          <w:tcW w:w="9072" w:type="dxa"/>
          <w:gridSpan w:val="2"/>
        </w:tcPr>
        <w:p w14:paraId="17EB3A3B" w14:textId="372AF112" w:rsidR="000D2FE2" w:rsidRDefault="000D2FE2">
          <w:pPr>
            <w:pStyle w:val="Kopfzeile"/>
          </w:pPr>
          <w:r>
            <w:fldChar w:fldCharType="begin"/>
          </w:r>
          <w:r>
            <w:instrText xml:space="preserve"> PAGE   \* MERGEFORMAT </w:instrText>
          </w:r>
          <w:r>
            <w:fldChar w:fldCharType="separate"/>
          </w:r>
          <w:r w:rsidR="003E6048">
            <w:rPr>
              <w:noProof/>
            </w:rPr>
            <w:t>2</w:t>
          </w:r>
          <w:r>
            <w:fldChar w:fldCharType="end"/>
          </w:r>
          <w:r>
            <w:t>/</w:t>
          </w:r>
          <w:fldSimple w:instr=" NUMPAGES   \* MERGEFORMAT ">
            <w:r w:rsidR="003E6048">
              <w:rPr>
                <w:noProof/>
              </w:rPr>
              <w:t>5</w:t>
            </w:r>
          </w:fldSimple>
        </w:p>
      </w:tc>
    </w:tr>
  </w:tbl>
  <w:p w14:paraId="17EB3A3D" w14:textId="77777777" w:rsidR="000D2FE2" w:rsidRDefault="000D2FE2">
    <w:pPr>
      <w:pStyle w:val="Kopfzeile"/>
      <w:tabs>
        <w:tab w:val="clear" w:pos="4536"/>
        <w:tab w:val="clear" w:pos="9072"/>
      </w:tabs>
      <w:rPr>
        <w:sz w:val="2"/>
      </w:rPr>
    </w:pPr>
  </w:p>
  <w:p w14:paraId="17EB3A3E" w14:textId="77777777" w:rsidR="000D2FE2" w:rsidRDefault="000D2FE2"/>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0D2FE2" w14:paraId="17EB3A46" w14:textId="77777777">
      <w:tc>
        <w:tcPr>
          <w:tcW w:w="7257" w:type="dxa"/>
        </w:tcPr>
        <w:p w14:paraId="17EB3A44" w14:textId="77777777" w:rsidR="000D2FE2" w:rsidRDefault="000D2FE2">
          <w:pPr>
            <w:pStyle w:val="Kopfzeile"/>
            <w:tabs>
              <w:tab w:val="clear" w:pos="4536"/>
              <w:tab w:val="clear" w:pos="9072"/>
            </w:tabs>
            <w:rPr>
              <w:szCs w:val="22"/>
            </w:rPr>
          </w:pPr>
          <w:r>
            <w:rPr>
              <w:noProof/>
              <w:szCs w:val="22"/>
              <w:lang w:eastAsia="de-CH"/>
            </w:rPr>
            <w:drawing>
              <wp:inline distT="0" distB="0" distL="0" distR="0" wp14:anchorId="17EB3A56" wp14:editId="17EB3A57">
                <wp:extent cx="1356360" cy="274320"/>
                <wp:effectExtent l="0" t="0" r="0" b="0"/>
                <wp:docPr id="3"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274320"/>
                        </a:xfrm>
                        <a:prstGeom prst="rect">
                          <a:avLst/>
                        </a:prstGeom>
                        <a:noFill/>
                        <a:ln>
                          <a:noFill/>
                        </a:ln>
                      </pic:spPr>
                    </pic:pic>
                  </a:graphicData>
                </a:graphic>
              </wp:inline>
            </w:drawing>
          </w:r>
        </w:p>
      </w:tc>
      <w:tc>
        <w:tcPr>
          <w:tcW w:w="2495" w:type="dxa"/>
        </w:tcPr>
        <w:p w14:paraId="17EB3A45" w14:textId="77777777" w:rsidR="000D2FE2" w:rsidRDefault="000D2FE2">
          <w:pPr>
            <w:pStyle w:val="Kopfzeile"/>
            <w:tabs>
              <w:tab w:val="clear" w:pos="4536"/>
              <w:tab w:val="clear" w:pos="9072"/>
            </w:tabs>
            <w:rPr>
              <w:sz w:val="17"/>
              <w:szCs w:val="17"/>
            </w:rPr>
          </w:pPr>
        </w:p>
      </w:tc>
    </w:tr>
    <w:tr w:rsidR="000D2FE2" w14:paraId="17EB3A49" w14:textId="77777777">
      <w:tc>
        <w:tcPr>
          <w:tcW w:w="7257" w:type="dxa"/>
        </w:tcPr>
        <w:p w14:paraId="17EB3A47" w14:textId="77777777" w:rsidR="000D2FE2" w:rsidRDefault="000D2FE2">
          <w:pPr>
            <w:pStyle w:val="Kopfzeile"/>
            <w:tabs>
              <w:tab w:val="clear" w:pos="4536"/>
              <w:tab w:val="clear" w:pos="9072"/>
            </w:tabs>
            <w:rPr>
              <w:szCs w:val="22"/>
            </w:rPr>
          </w:pPr>
        </w:p>
      </w:tc>
      <w:tc>
        <w:tcPr>
          <w:tcW w:w="2495" w:type="dxa"/>
        </w:tcPr>
        <w:p w14:paraId="17EB3A48" w14:textId="77777777" w:rsidR="000D2FE2" w:rsidRDefault="000D2FE2">
          <w:pPr>
            <w:pStyle w:val="Kopfzeile"/>
            <w:tabs>
              <w:tab w:val="clear" w:pos="4536"/>
              <w:tab w:val="clear" w:pos="9072"/>
            </w:tabs>
            <w:rPr>
              <w:noProof/>
              <w:sz w:val="17"/>
              <w:szCs w:val="17"/>
              <w:lang w:val="de-DE"/>
            </w:rPr>
          </w:pPr>
        </w:p>
      </w:tc>
    </w:tr>
  </w:tbl>
  <w:p w14:paraId="17EB3A4A" w14:textId="77777777" w:rsidR="000D2FE2" w:rsidRDefault="000D2FE2">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0594E69"/>
    <w:multiLevelType w:val="hybridMultilevel"/>
    <w:tmpl w:val="FDD20872"/>
    <w:lvl w:ilvl="0" w:tplc="148E0B0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11A4ABB"/>
    <w:multiLevelType w:val="hybridMultilevel"/>
    <w:tmpl w:val="0BBA4684"/>
    <w:lvl w:ilvl="0" w:tplc="F9D63BD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39A76CF"/>
    <w:multiLevelType w:val="hybridMultilevel"/>
    <w:tmpl w:val="58B21D56"/>
    <w:lvl w:ilvl="0" w:tplc="D9F05D38">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F30D6E"/>
    <w:multiLevelType w:val="hybridMultilevel"/>
    <w:tmpl w:val="8F264E2E"/>
    <w:lvl w:ilvl="0" w:tplc="C1485FC0">
      <w:start w:val="1"/>
      <w:numFmt w:val="decimal"/>
      <w:lvlText w:val="%1."/>
      <w:lvlJc w:val="left"/>
      <w:pPr>
        <w:ind w:left="720" w:hanging="360"/>
      </w:pPr>
      <w:rPr>
        <w:rFonts w:ascii="Arial" w:eastAsia="Times New Roman" w:hAnsi="Arial" w:cs="Times New Roman"/>
      </w:rPr>
    </w:lvl>
    <w:lvl w:ilvl="1" w:tplc="08070003">
      <w:start w:val="1"/>
      <w:numFmt w:val="bullet"/>
      <w:lvlText w:val="o"/>
      <w:lvlJc w:val="left"/>
      <w:pPr>
        <w:ind w:left="1440" w:hanging="360"/>
      </w:pPr>
      <w:rPr>
        <w:rFonts w:ascii="Courier New" w:hAnsi="Courier New" w:cs="Times New Roman"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Times New Roman"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Times New Roman" w:hint="default"/>
      </w:rPr>
    </w:lvl>
    <w:lvl w:ilvl="8" w:tplc="08070005">
      <w:start w:val="1"/>
      <w:numFmt w:val="bullet"/>
      <w:lvlText w:val=""/>
      <w:lvlJc w:val="left"/>
      <w:pPr>
        <w:ind w:left="6480" w:hanging="360"/>
      </w:pPr>
      <w:rPr>
        <w:rFonts w:ascii="Wingdings" w:hAnsi="Wingdings" w:hint="default"/>
      </w:rPr>
    </w:lvl>
  </w:abstractNum>
  <w:abstractNum w:abstractNumId="11" w15:restartNumberingAfterBreak="0">
    <w:nsid w:val="6B283131"/>
    <w:multiLevelType w:val="hybridMultilevel"/>
    <w:tmpl w:val="E4E4B850"/>
    <w:lvl w:ilvl="0" w:tplc="D9F05D38">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BB0161F"/>
    <w:multiLevelType w:val="hybridMultilevel"/>
    <w:tmpl w:val="1FF098D2"/>
    <w:lvl w:ilvl="0" w:tplc="939A1766">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5"/>
  </w:num>
  <w:num w:numId="4">
    <w:abstractNumId w:val="9"/>
  </w:num>
  <w:num w:numId="5">
    <w:abstractNumId w:val="13"/>
  </w:num>
  <w:num w:numId="6">
    <w:abstractNumId w:val="6"/>
  </w:num>
  <w:num w:numId="7">
    <w:abstractNumId w:val="2"/>
  </w:num>
  <w:num w:numId="8">
    <w:abstractNumId w:val="1"/>
  </w:num>
  <w:num w:numId="9">
    <w:abstractNumId w:val="0"/>
  </w:num>
  <w:num w:numId="10">
    <w:abstractNumId w:val="8"/>
  </w:num>
  <w:num w:numId="11">
    <w:abstractNumId w:val="4"/>
  </w:num>
  <w:num w:numId="12">
    <w:abstractNumId w:val="12"/>
  </w:num>
  <w:num w:numId="13">
    <w:abstractNumId w:val="3"/>
  </w:num>
  <w:num w:numId="14">
    <w:abstractNumId w:val="10"/>
    <w:lvlOverride w:ilvl="0">
      <w:startOverride w:val="1"/>
    </w:lvlOverride>
    <w:lvlOverride w:ilvl="1"/>
    <w:lvlOverride w:ilvl="2"/>
    <w:lvlOverride w:ilvl="3"/>
    <w:lvlOverride w:ilvl="4"/>
    <w:lvlOverride w:ilvl="5"/>
    <w:lvlOverride w:ilvl="6"/>
    <w:lvlOverride w:ilvl="7"/>
    <w:lvlOverride w:ilvl="8"/>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1157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BE6F52"/>
    <w:rsid w:val="000649DF"/>
    <w:rsid w:val="00073A59"/>
    <w:rsid w:val="00074CF6"/>
    <w:rsid w:val="00075179"/>
    <w:rsid w:val="0008156A"/>
    <w:rsid w:val="00093218"/>
    <w:rsid w:val="000D2FE2"/>
    <w:rsid w:val="0012212A"/>
    <w:rsid w:val="00127F0B"/>
    <w:rsid w:val="00131E8D"/>
    <w:rsid w:val="00143244"/>
    <w:rsid w:val="00154287"/>
    <w:rsid w:val="00196DB6"/>
    <w:rsid w:val="001A5343"/>
    <w:rsid w:val="001B1A4D"/>
    <w:rsid w:val="001C4D65"/>
    <w:rsid w:val="001F54B0"/>
    <w:rsid w:val="002129A1"/>
    <w:rsid w:val="00215E7A"/>
    <w:rsid w:val="00222C63"/>
    <w:rsid w:val="00277AA0"/>
    <w:rsid w:val="00283095"/>
    <w:rsid w:val="002A18BA"/>
    <w:rsid w:val="002A66B7"/>
    <w:rsid w:val="002D5880"/>
    <w:rsid w:val="002F19C6"/>
    <w:rsid w:val="00316673"/>
    <w:rsid w:val="003272BA"/>
    <w:rsid w:val="003415A9"/>
    <w:rsid w:val="00375FC2"/>
    <w:rsid w:val="00386D4C"/>
    <w:rsid w:val="003A5F48"/>
    <w:rsid w:val="003B3664"/>
    <w:rsid w:val="003E5FC8"/>
    <w:rsid w:val="003E6048"/>
    <w:rsid w:val="00417BE2"/>
    <w:rsid w:val="004326D5"/>
    <w:rsid w:val="00445B89"/>
    <w:rsid w:val="004463CF"/>
    <w:rsid w:val="00483EE6"/>
    <w:rsid w:val="00494A21"/>
    <w:rsid w:val="004A5473"/>
    <w:rsid w:val="004D14F5"/>
    <w:rsid w:val="005322FE"/>
    <w:rsid w:val="0053312E"/>
    <w:rsid w:val="0056585C"/>
    <w:rsid w:val="0057520F"/>
    <w:rsid w:val="0057770E"/>
    <w:rsid w:val="00595BC2"/>
    <w:rsid w:val="00596C66"/>
    <w:rsid w:val="005B615F"/>
    <w:rsid w:val="005E4CC1"/>
    <w:rsid w:val="005F24BA"/>
    <w:rsid w:val="005F505A"/>
    <w:rsid w:val="00604465"/>
    <w:rsid w:val="0062103F"/>
    <w:rsid w:val="006771DA"/>
    <w:rsid w:val="006A1171"/>
    <w:rsid w:val="006A261F"/>
    <w:rsid w:val="006C549E"/>
    <w:rsid w:val="006D3CC9"/>
    <w:rsid w:val="006D4623"/>
    <w:rsid w:val="006E0973"/>
    <w:rsid w:val="006F015E"/>
    <w:rsid w:val="00703B6B"/>
    <w:rsid w:val="00711334"/>
    <w:rsid w:val="00772AC8"/>
    <w:rsid w:val="00786F5E"/>
    <w:rsid w:val="00804205"/>
    <w:rsid w:val="00820DD6"/>
    <w:rsid w:val="00855A6F"/>
    <w:rsid w:val="00860A53"/>
    <w:rsid w:val="008E1F5C"/>
    <w:rsid w:val="00906D8C"/>
    <w:rsid w:val="00912B07"/>
    <w:rsid w:val="00923A24"/>
    <w:rsid w:val="00933ECB"/>
    <w:rsid w:val="00951D1E"/>
    <w:rsid w:val="00966D21"/>
    <w:rsid w:val="009948F4"/>
    <w:rsid w:val="009D7FEA"/>
    <w:rsid w:val="00A127BD"/>
    <w:rsid w:val="00A40D10"/>
    <w:rsid w:val="00A60993"/>
    <w:rsid w:val="00A7342D"/>
    <w:rsid w:val="00A7416C"/>
    <w:rsid w:val="00AA6151"/>
    <w:rsid w:val="00AB4D9C"/>
    <w:rsid w:val="00AD7F60"/>
    <w:rsid w:val="00AF107A"/>
    <w:rsid w:val="00AF333D"/>
    <w:rsid w:val="00B054B8"/>
    <w:rsid w:val="00B1306D"/>
    <w:rsid w:val="00B26479"/>
    <w:rsid w:val="00B325AC"/>
    <w:rsid w:val="00B5370F"/>
    <w:rsid w:val="00B5543A"/>
    <w:rsid w:val="00B55BA9"/>
    <w:rsid w:val="00B656E9"/>
    <w:rsid w:val="00B75650"/>
    <w:rsid w:val="00B81471"/>
    <w:rsid w:val="00B82628"/>
    <w:rsid w:val="00B92738"/>
    <w:rsid w:val="00B97794"/>
    <w:rsid w:val="00BA2D78"/>
    <w:rsid w:val="00BA6C2F"/>
    <w:rsid w:val="00BA7A6B"/>
    <w:rsid w:val="00BD772B"/>
    <w:rsid w:val="00BE6CCF"/>
    <w:rsid w:val="00BE6F52"/>
    <w:rsid w:val="00BF0C0A"/>
    <w:rsid w:val="00BF1C1A"/>
    <w:rsid w:val="00C10E21"/>
    <w:rsid w:val="00C111C1"/>
    <w:rsid w:val="00C76583"/>
    <w:rsid w:val="00C778C1"/>
    <w:rsid w:val="00CB7AC2"/>
    <w:rsid w:val="00CF1141"/>
    <w:rsid w:val="00CF5C63"/>
    <w:rsid w:val="00D05292"/>
    <w:rsid w:val="00D463C3"/>
    <w:rsid w:val="00D62317"/>
    <w:rsid w:val="00D65E62"/>
    <w:rsid w:val="00DA024F"/>
    <w:rsid w:val="00DA3D3A"/>
    <w:rsid w:val="00DD0662"/>
    <w:rsid w:val="00DF2F96"/>
    <w:rsid w:val="00E33FE1"/>
    <w:rsid w:val="00EA122A"/>
    <w:rsid w:val="00EA1DE6"/>
    <w:rsid w:val="00EA777F"/>
    <w:rsid w:val="00EE629B"/>
    <w:rsid w:val="00F132BC"/>
    <w:rsid w:val="00F215AC"/>
    <w:rsid w:val="00F31A36"/>
    <w:rsid w:val="00F531CB"/>
    <w:rsid w:val="00F77C8C"/>
    <w:rsid w:val="00FE06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713"/>
    <o:shapelayout v:ext="edit">
      <o:idmap v:ext="edit" data="1"/>
    </o:shapelayout>
  </w:shapeDefaults>
  <w:decimalSymbol w:val="."/>
  <w:listSeparator w:val=";"/>
  <w14:docId w14:val="17EB39AA"/>
  <w15:docId w15:val="{758711A0-7644-464E-BB40-48DD7711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83095"/>
    <w:rPr>
      <w:rFonts w:ascii="Arial" w:hAnsi="Arial" w:cs="Arial"/>
      <w:sz w:val="22"/>
      <w:lang w:eastAsia="de-DE"/>
    </w:rPr>
  </w:style>
  <w:style w:type="paragraph" w:styleId="berschrift1">
    <w:name w:val="heading 1"/>
    <w:basedOn w:val="Standard"/>
    <w:next w:val="Absatz0"/>
    <w:qFormat/>
    <w:rsid w:val="003415A9"/>
    <w:pPr>
      <w:numPr>
        <w:numId w:val="1"/>
      </w:numPr>
      <w:shd w:val="clear" w:color="auto" w:fill="99CCFF"/>
      <w:tabs>
        <w:tab w:val="left" w:pos="709"/>
      </w:tabs>
      <w:spacing w:before="240" w:after="120"/>
      <w:outlineLvl w:val="0"/>
    </w:pPr>
    <w:rPr>
      <w:rFonts w:cs="Times New Roman"/>
      <w:b/>
      <w:szCs w:val="24"/>
    </w:rPr>
  </w:style>
  <w:style w:type="paragraph" w:styleId="berschrift2">
    <w:name w:val="heading 2"/>
    <w:basedOn w:val="berschrift1"/>
    <w:next w:val="Absatz0"/>
    <w:qFormat/>
    <w:rsid w:val="003415A9"/>
    <w:pPr>
      <w:numPr>
        <w:ilvl w:val="1"/>
      </w:numPr>
      <w:tabs>
        <w:tab w:val="clear" w:pos="576"/>
      </w:tabs>
      <w:ind w:left="709" w:hanging="709"/>
      <w:outlineLvl w:val="1"/>
    </w:pPr>
  </w:style>
  <w:style w:type="paragraph" w:styleId="berschrift3">
    <w:name w:val="heading 3"/>
    <w:basedOn w:val="berschrift2"/>
    <w:next w:val="Absatz0"/>
    <w:qFormat/>
    <w:rsid w:val="00283095"/>
    <w:pPr>
      <w:numPr>
        <w:ilvl w:val="2"/>
      </w:numPr>
      <w:tabs>
        <w:tab w:val="clear" w:pos="720"/>
        <w:tab w:val="left" w:pos="709"/>
      </w:tabs>
      <w:ind w:left="709" w:hanging="709"/>
      <w:outlineLvl w:val="2"/>
    </w:pPr>
    <w:rPr>
      <w:b w:val="0"/>
    </w:rPr>
  </w:style>
  <w:style w:type="paragraph" w:styleId="berschrift4">
    <w:name w:val="heading 4"/>
    <w:basedOn w:val="berschrift3"/>
    <w:next w:val="Absatz1"/>
    <w:qFormat/>
    <w:rsid w:val="00283095"/>
    <w:pPr>
      <w:numPr>
        <w:ilvl w:val="3"/>
      </w:numPr>
      <w:tabs>
        <w:tab w:val="clear" w:pos="864"/>
      </w:tabs>
      <w:ind w:left="709" w:hanging="709"/>
      <w:outlineLvl w:val="3"/>
    </w:pPr>
  </w:style>
  <w:style w:type="paragraph" w:styleId="berschrift5">
    <w:name w:val="heading 5"/>
    <w:basedOn w:val="berschrift4"/>
    <w:next w:val="Absatz1"/>
    <w:qFormat/>
    <w:rsid w:val="00283095"/>
    <w:pPr>
      <w:numPr>
        <w:ilvl w:val="4"/>
      </w:numPr>
      <w:tabs>
        <w:tab w:val="clear" w:pos="1008"/>
      </w:tabs>
      <w:ind w:left="709" w:hanging="709"/>
      <w:outlineLvl w:val="4"/>
    </w:pPr>
  </w:style>
  <w:style w:type="paragraph" w:styleId="berschrift6">
    <w:name w:val="heading 6"/>
    <w:basedOn w:val="berschrift5"/>
    <w:next w:val="Absatz1"/>
    <w:qFormat/>
    <w:rsid w:val="00283095"/>
    <w:pPr>
      <w:numPr>
        <w:ilvl w:val="5"/>
      </w:numPr>
      <w:tabs>
        <w:tab w:val="clear" w:pos="1152"/>
      </w:tabs>
      <w:ind w:left="709" w:hanging="709"/>
      <w:outlineLvl w:val="5"/>
    </w:pPr>
  </w:style>
  <w:style w:type="paragraph" w:styleId="berschrift7">
    <w:name w:val="heading 7"/>
    <w:basedOn w:val="berschrift6"/>
    <w:next w:val="Absatz1"/>
    <w:qFormat/>
    <w:rsid w:val="00283095"/>
    <w:pPr>
      <w:numPr>
        <w:ilvl w:val="6"/>
      </w:numPr>
      <w:tabs>
        <w:tab w:val="clear" w:pos="1296"/>
      </w:tabs>
      <w:ind w:left="709" w:hanging="709"/>
      <w:outlineLvl w:val="6"/>
    </w:pPr>
  </w:style>
  <w:style w:type="paragraph" w:styleId="berschrift8">
    <w:name w:val="heading 8"/>
    <w:basedOn w:val="berschrift7"/>
    <w:next w:val="Absatz1"/>
    <w:qFormat/>
    <w:rsid w:val="00283095"/>
    <w:pPr>
      <w:numPr>
        <w:ilvl w:val="7"/>
      </w:numPr>
      <w:tabs>
        <w:tab w:val="clear" w:pos="1440"/>
      </w:tabs>
      <w:ind w:left="709" w:hanging="709"/>
      <w:outlineLvl w:val="7"/>
    </w:pPr>
  </w:style>
  <w:style w:type="paragraph" w:styleId="berschrift9">
    <w:name w:val="heading 9"/>
    <w:basedOn w:val="berschrift8"/>
    <w:next w:val="Absatz1"/>
    <w:qFormat/>
    <w:rsid w:val="00283095"/>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283095"/>
    <w:pPr>
      <w:ind w:left="709"/>
    </w:pPr>
  </w:style>
  <w:style w:type="paragraph" w:styleId="Verzeichnis1">
    <w:name w:val="toc 1"/>
    <w:basedOn w:val="Standard"/>
    <w:next w:val="Standard"/>
    <w:semiHidden/>
    <w:rsid w:val="00283095"/>
    <w:pPr>
      <w:tabs>
        <w:tab w:val="right" w:leader="dot" w:pos="9071"/>
      </w:tabs>
      <w:spacing w:before="120" w:after="120" w:line="280" w:lineRule="atLeast"/>
      <w:ind w:left="709" w:hanging="709"/>
    </w:pPr>
    <w:rPr>
      <w:b/>
      <w:caps/>
    </w:rPr>
  </w:style>
  <w:style w:type="paragraph" w:styleId="Verzeichnis2">
    <w:name w:val="toc 2"/>
    <w:basedOn w:val="Standard"/>
    <w:next w:val="Standard"/>
    <w:semiHidden/>
    <w:rsid w:val="00283095"/>
    <w:pPr>
      <w:tabs>
        <w:tab w:val="right" w:leader="dot" w:pos="9071"/>
      </w:tabs>
      <w:spacing w:line="240" w:lineRule="atLeast"/>
      <w:ind w:left="709" w:hanging="709"/>
    </w:pPr>
    <w:rPr>
      <w:smallCaps/>
    </w:rPr>
  </w:style>
  <w:style w:type="paragraph" w:styleId="Verzeichnis3">
    <w:name w:val="toc 3"/>
    <w:basedOn w:val="Standard"/>
    <w:next w:val="Standard"/>
    <w:semiHidden/>
    <w:rsid w:val="00283095"/>
    <w:pPr>
      <w:tabs>
        <w:tab w:val="right" w:leader="dot" w:pos="9071"/>
      </w:tabs>
      <w:ind w:left="1417" w:hanging="709"/>
    </w:pPr>
    <w:rPr>
      <w:i/>
    </w:rPr>
  </w:style>
  <w:style w:type="paragraph" w:customStyle="1" w:styleId="berschrift">
    <w:name w:val="Überschrift"/>
    <w:basedOn w:val="Standard"/>
    <w:next w:val="Standard"/>
    <w:rsid w:val="00283095"/>
    <w:pPr>
      <w:spacing w:before="120" w:after="120"/>
    </w:pPr>
    <w:rPr>
      <w:b/>
    </w:rPr>
  </w:style>
  <w:style w:type="paragraph" w:styleId="Kopfzeile">
    <w:name w:val="header"/>
    <w:basedOn w:val="Standard"/>
    <w:rsid w:val="00283095"/>
    <w:pPr>
      <w:tabs>
        <w:tab w:val="center" w:pos="4536"/>
        <w:tab w:val="right" w:pos="9072"/>
      </w:tabs>
    </w:pPr>
  </w:style>
  <w:style w:type="paragraph" w:styleId="Fuzeile">
    <w:name w:val="footer"/>
    <w:basedOn w:val="Standard"/>
    <w:rsid w:val="00283095"/>
    <w:pPr>
      <w:tabs>
        <w:tab w:val="center" w:pos="4536"/>
        <w:tab w:val="right" w:pos="9072"/>
      </w:tabs>
    </w:pPr>
  </w:style>
  <w:style w:type="paragraph" w:customStyle="1" w:styleId="Absatz0">
    <w:name w:val="Absatz 0"/>
    <w:basedOn w:val="Standard"/>
    <w:rsid w:val="00283095"/>
  </w:style>
  <w:style w:type="paragraph" w:customStyle="1" w:styleId="Absatz1">
    <w:name w:val="Absatz 1"/>
    <w:basedOn w:val="Absatz0"/>
    <w:rsid w:val="00283095"/>
    <w:pPr>
      <w:ind w:left="709"/>
    </w:pPr>
  </w:style>
  <w:style w:type="paragraph" w:customStyle="1" w:styleId="Absatz2">
    <w:name w:val="Absatz 2"/>
    <w:basedOn w:val="Absatz0"/>
    <w:rsid w:val="00283095"/>
    <w:pPr>
      <w:ind w:left="1417"/>
    </w:pPr>
  </w:style>
  <w:style w:type="paragraph" w:customStyle="1" w:styleId="Absatz3">
    <w:name w:val="Absatz 3"/>
    <w:basedOn w:val="Absatz0"/>
    <w:rsid w:val="00283095"/>
    <w:pPr>
      <w:ind w:left="1984"/>
    </w:pPr>
  </w:style>
  <w:style w:type="paragraph" w:customStyle="1" w:styleId="Tabellentitel">
    <w:name w:val="Tabellentitel"/>
    <w:basedOn w:val="Standard"/>
    <w:rsid w:val="00283095"/>
    <w:rPr>
      <w:b/>
      <w:sz w:val="17"/>
    </w:rPr>
  </w:style>
  <w:style w:type="paragraph" w:customStyle="1" w:styleId="Tabellentext">
    <w:name w:val="Tabellentext"/>
    <w:basedOn w:val="Standard"/>
    <w:rsid w:val="00283095"/>
    <w:rPr>
      <w:sz w:val="17"/>
    </w:rPr>
  </w:style>
  <w:style w:type="paragraph" w:customStyle="1" w:styleId="WeisungKopfteil">
    <w:name w:val="Weisung Kopfteil"/>
    <w:basedOn w:val="Standard"/>
    <w:rsid w:val="00283095"/>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rsid w:val="00283095"/>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character" w:styleId="Kommentarzeichen">
    <w:name w:val="annotation reference"/>
    <w:rsid w:val="00855A6F"/>
    <w:rPr>
      <w:sz w:val="16"/>
      <w:szCs w:val="16"/>
    </w:rPr>
  </w:style>
  <w:style w:type="paragraph" w:styleId="Kommentartext">
    <w:name w:val="annotation text"/>
    <w:basedOn w:val="Standard"/>
    <w:link w:val="KommentartextZchn"/>
    <w:rsid w:val="00855A6F"/>
    <w:rPr>
      <w:sz w:val="20"/>
    </w:rPr>
  </w:style>
  <w:style w:type="character" w:customStyle="1" w:styleId="KommentartextZchn">
    <w:name w:val="Kommentartext Zchn"/>
    <w:basedOn w:val="Absatz-Standardschriftart"/>
    <w:link w:val="Kommentartext"/>
    <w:rsid w:val="00855A6F"/>
    <w:rPr>
      <w:rFonts w:ascii="Arial" w:hAnsi="Arial" w:cs="Arial"/>
      <w:lang w:eastAsia="de-DE"/>
    </w:rPr>
  </w:style>
  <w:style w:type="paragraph" w:styleId="Listenabsatz">
    <w:name w:val="List Paragraph"/>
    <w:basedOn w:val="Standard"/>
    <w:uiPriority w:val="34"/>
    <w:qFormat/>
    <w:rsid w:val="00855A6F"/>
    <w:pPr>
      <w:ind w:left="720"/>
    </w:pPr>
    <w:rPr>
      <w:rFonts w:cs="Times New Roman"/>
      <w:szCs w:val="22"/>
      <w:lang w:eastAsia="en-US"/>
    </w:rPr>
  </w:style>
  <w:style w:type="paragraph" w:styleId="Kommentarthema">
    <w:name w:val="annotation subject"/>
    <w:basedOn w:val="Kommentartext"/>
    <w:next w:val="Kommentartext"/>
    <w:link w:val="KommentarthemaZchn"/>
    <w:rsid w:val="00C111C1"/>
    <w:rPr>
      <w:b/>
      <w:bCs/>
    </w:rPr>
  </w:style>
  <w:style w:type="character" w:customStyle="1" w:styleId="KommentarthemaZchn">
    <w:name w:val="Kommentarthema Zchn"/>
    <w:basedOn w:val="KommentartextZchn"/>
    <w:link w:val="Kommentarthema"/>
    <w:rsid w:val="00C111C1"/>
    <w:rPr>
      <w:rFonts w:ascii="Arial" w:hAnsi="Arial" w:cs="Arial"/>
      <w:b/>
      <w:bCs/>
      <w:lang w:eastAsia="de-DE"/>
    </w:rPr>
  </w:style>
  <w:style w:type="character" w:styleId="Hyperlink">
    <w:name w:val="Hyperlink"/>
    <w:basedOn w:val="Absatz-Standardschriftart"/>
    <w:rsid w:val="000649DF"/>
    <w:rPr>
      <w:color w:val="0000FF" w:themeColor="hyperlink"/>
      <w:u w:val="single"/>
    </w:rPr>
  </w:style>
  <w:style w:type="character" w:styleId="BesuchterLink">
    <w:name w:val="FollowedHyperlink"/>
    <w:basedOn w:val="Absatz-Standardschriftart"/>
    <w:rsid w:val="000649DF"/>
    <w:rPr>
      <w:color w:val="800080" w:themeColor="followedHyperlink"/>
      <w:u w:val="single"/>
    </w:rPr>
  </w:style>
  <w:style w:type="paragraph" w:styleId="berarbeitung">
    <w:name w:val="Revision"/>
    <w:hidden/>
    <w:uiPriority w:val="99"/>
    <w:semiHidden/>
    <w:rsid w:val="0008156A"/>
    <w:rPr>
      <w:rFonts w:ascii="Arial" w:hAnsi="Arial" w:cs="Arial"/>
      <w:sz w:val="22"/>
      <w:lang w:eastAsia="de-DE"/>
    </w:rPr>
  </w:style>
  <w:style w:type="character" w:styleId="Platzhaltertext">
    <w:name w:val="Placeholder Text"/>
    <w:basedOn w:val="Absatz-Standardschriftart"/>
    <w:uiPriority w:val="99"/>
    <w:semiHidden/>
    <w:rsid w:val="00C778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9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od.intranet.stzh.ch/fachressorts/wirtschaftliche-hilfe-(wh)/skos-c" TargetMode="External"/><Relationship Id="rId18" Type="http://schemas.openxmlformats.org/officeDocument/2006/relationships/header" Target="header3.xml"/><Relationship Id="rId26" Type="http://schemas.openxmlformats.org/officeDocument/2006/relationships/hyperlink" Target="https://sozeloixps.global.szh.loc/ix-SOZ_ELO_DM01/plugin/de.elo.ix.plugin.proxy/web/pages/startup.jsp?useSSO=true&amp;guid=(DABDBE19-06F2-DF4F-ABEE-D94E48CC2930)" TargetMode="Externa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sozialversicherungen.admin.ch/de/d/6348/download"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sozeloixps.global.szh.loc/ix-SOZ_ELO_DM01/plugin/de.elo.ix.plugin.proxy/web/pages/startup.jsp?useSSO=true&amp;guid=(2CA6460C-8362-846F-1FD3-D996A8C66A28)"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sozeloixps.global.szh.loc/ix-SOZ_ELO_DM01/plugin/de.elo.ix.plugin.proxy/web/pages/startup.jsp?useSSO=true&amp;guid=(2CA6460C-8362-846F-1FD3-D996A8C66A28)"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sozeloixps.global.szh.loc/ix-SOZ_ELO_DM01/plugin/de.elo.ix.plugin.proxy/web/pages/startup.jsp?useSSO=true&amp;guid=(2CA6460C-8362-846F-1FD3-D996A8C66A28)" TargetMode="External"/><Relationship Id="rId28"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oleObject" Target="embeddings/Microsoft_Visio_2003-2010-Zeichnung.vsd"/><Relationship Id="rId27" Type="http://schemas.openxmlformats.org/officeDocument/2006/relationships/header" Target="header4.xml"/><Relationship Id="rId30"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5</Value>
    </Zu_x0020_konsultierende_x002f_-s_x0020_Fachressort_x002f_-s>
    <Version_x0020_des_x0020_Dokuments xmlns="3905ffbc-9aeb-4d51-937e-ee1e2cf00671">1.3</Version_x0020_des_x0020_Dokuments>
    <Gültig_x0020_bis xmlns="3905ffbc-9aeb-4d51-937e-ee1e2cf00671" xsi:nil="true"/>
    <Kontaktperson_x0020_für_x0020_SOD_x0020_KOM xmlns="3905ffbc-9aeb-4d51-937e-ee1e2cf00671">
      <UserInfo>
        <DisplayName>i:0#.w|global\sozsodk</DisplayName>
        <AccountId>392</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i:0#.w|global\sozsodk</DisplayName>
        <AccountId>392</AccountId>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 xsi:nil="true"/>
    <Federführende_x002f_s_x0020_Fachressort_x002f_Einheit xmlns="f3b92940-74e1-4b32-811a-cd501d17ae23">5</Federführende_x002f_s_x0020_Fachressort_x002f_Einheit>
    <Herausgabe_x0020_bei_x0020_Informationszugangsgesuchen xmlns="f3b92940-74e1-4b32-811a-cd501d17ae23">kann herausgegeben werden</Herausgabe_x0020_bei_x0020_Informationszugangsgesuchen>
    <SKOS-Kapitel xmlns="f3b92940-74e1-4b32-811a-cd501d17ae23">
      <Value>3</Value>
    </SKOS-Kapitel>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5</Value>
    </Thematische_x0020_Zuordnung_x0020_Fachressort_x0028_s_x0029_>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543FF83-B1D9-432C-AEFA-22CA8FA73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5A673-9D66-43E4-9066-530EF92F8E5E}">
  <ds:schemaRefs>
    <ds:schemaRef ds:uri="http://purl.org/dc/dcmityp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3905ffbc-9aeb-4d51-937e-ee1e2cf00671"/>
    <ds:schemaRef ds:uri="f3b92940-74e1-4b32-811a-cd501d17ae23"/>
    <ds:schemaRef ds:uri="http://www.w3.org/XML/1998/namespace"/>
  </ds:schemaRefs>
</ds:datastoreItem>
</file>

<file path=customXml/itemProps3.xml><?xml version="1.0" encoding="utf-8"?>
<ds:datastoreItem xmlns:ds="http://schemas.openxmlformats.org/officeDocument/2006/customXml" ds:itemID="{99F51723-D8E0-4D8B-AA5A-83DD6802999C}">
  <ds:schemaRefs>
    <ds:schemaRef ds:uri="http://schemas.microsoft.com/office/2006/metadata/customXsn"/>
  </ds:schemaRefs>
</ds:datastoreItem>
</file>

<file path=customXml/itemProps4.xml><?xml version="1.0" encoding="utf-8"?>
<ds:datastoreItem xmlns:ds="http://schemas.openxmlformats.org/officeDocument/2006/customXml" ds:itemID="{DDB8161E-4A29-4872-AB0B-6396022C0B8A}">
  <ds:schemaRefs>
    <ds:schemaRef ds:uri="http://schemas.microsoft.com/sharepoint/events"/>
  </ds:schemaRefs>
</ds:datastoreItem>
</file>

<file path=customXml/itemProps5.xml><?xml version="1.0" encoding="utf-8"?>
<ds:datastoreItem xmlns:ds="http://schemas.openxmlformats.org/officeDocument/2006/customXml" ds:itemID="{9916DECF-7D37-4F1E-A536-540653BCA37E}">
  <ds:schemaRefs>
    <ds:schemaRef ds:uri="http://schemas.microsoft.com/sharepoint/v3/contenttype/forms"/>
  </ds:schemaRefs>
</ds:datastoreItem>
</file>

<file path=customXml/itemProps6.xml><?xml version="1.0" encoding="utf-8"?>
<ds:datastoreItem xmlns:ds="http://schemas.openxmlformats.org/officeDocument/2006/customXml" ds:itemID="{C9D23B4C-8003-456F-8843-71075961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1483</Words>
  <Characters>10056</Characters>
  <Application>Microsoft Office Word</Application>
  <DocSecurity>0</DocSecurity>
  <Lines>196</Lines>
  <Paragraphs>69</Paragraphs>
  <ScaleCrop>false</ScaleCrop>
  <HeadingPairs>
    <vt:vector size="2" baseType="variant">
      <vt:variant>
        <vt:lpstr>Titel</vt:lpstr>
      </vt:variant>
      <vt:variant>
        <vt:i4>1</vt:i4>
      </vt:variant>
    </vt:vector>
  </HeadingPairs>
  <TitlesOfParts>
    <vt:vector size="1" baseType="lpstr">
      <vt:lpstr>PRA_Umgang_mit_Ferien_und_Abwesenheiten</vt:lpstr>
    </vt:vector>
  </TitlesOfParts>
  <Company>Soziale Dienste Stadt Zürich</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PRA_Umgang_mit_Ferien_und_Abwesenheiten</dc:title>
  <dc:creator>Mina Michel (SD)</dc:creator>
  <cp:lastModifiedBy>Laura Walz (sozwcl)</cp:lastModifiedBy>
  <cp:revision>14</cp:revision>
  <cp:lastPrinted>2016-05-03T14:45:00Z</cp:lastPrinted>
  <dcterms:created xsi:type="dcterms:W3CDTF">2021-06-21T05:39:00Z</dcterms:created>
  <dcterms:modified xsi:type="dcterms:W3CDTF">2022-06-10T09:04:00Z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0x01010012DCBF5558F0D14AB1FD168DE6C7A40C0100309021253101A04D9D9A7096FBAB356B</vt:lpwstr>
  </property>
  <property fmtid="{D5CDD505-2E9C-101B-9397-08002B2CF9AE}" pid="3" name="_dlc_DocIdItemGuid">
    <vt:lpwstr>ec2391fa-20d2-4c47-b1fb-990abe6241a9</vt:lpwstr>
  </property>
  <property fmtid="{D5CDD505-2E9C-101B-9397-08002B2CF9AE}" pid="4" name="_dlc_DocId">
    <vt:lpwstr>SDSOD-119-425</vt:lpwstr>
  </property>
  <property fmtid="{D5CDD505-2E9C-101B-9397-08002B2CF9AE}" pid="5" name="_dlc_DocIdUrl">
    <vt:lpwstr>http://portal.sd.intra.stzh.ch/sod/regelwerk/_layouts/DocIdRedir.aspx?ID=SDSOD-119-425, SDSOD-119-425</vt:lpwstr>
  </property>
  <property fmtid="{D5CDD505-2E9C-101B-9397-08002B2CF9AE}" pid="6" name="TemplateUrl">
    <vt:lpwstr/>
  </property>
  <property fmtid="{D5CDD505-2E9C-101B-9397-08002B2CF9AE}" pid="7" name="Order">
    <vt:r8>200</vt:r8>
  </property>
  <property fmtid="{D5CDD505-2E9C-101B-9397-08002B2CF9AE}" pid="8" name="xd_ProgID">
    <vt:lpwstr/>
  </property>
  <property fmtid="{D5CDD505-2E9C-101B-9397-08002B2CF9AE}" pid="9" name="_CopySource">
    <vt:lpwstr/>
  </property>
  <property fmtid="{D5CDD505-2E9C-101B-9397-08002B2CF9AE}" pid="10" name="IsMyDocuments">
    <vt:bool>true</vt:bool>
  </property>
  <property fmtid="{D5CDD505-2E9C-101B-9397-08002B2CF9AE}" pid="11" name="Dokumentenart0">
    <vt:lpwstr>5</vt:lpwstr>
  </property>
  <property fmtid="{D5CDD505-2E9C-101B-9397-08002B2CF9AE}" pid="12" name="WorkflowChangePath">
    <vt:lpwstr>1dbebda2-0151-441b-bad0-3a4bc52a6e32,8;1dbebda2-0151-441b-bad0-3a4bc52a6e32,10;1dbebda2-0151-441b-bad0-3a4bc52a6e32,12;498d860f-cbd0-4500-a53b-08f6ed17cb6e,16;7dbe9e3d-1110-41fa-836b-195a3e49061c,10;7dbe9e3d-1110-41fa-836b-195a3e49061c,12;7dbe9e3d-1110-41</vt:lpwstr>
  </property>
  <property fmtid="{D5CDD505-2E9C-101B-9397-08002B2CF9AE}" pid="13" name="Bemerkungen">
    <vt:lpwstr/>
  </property>
  <property fmtid="{D5CDD505-2E9C-101B-9397-08002B2CF9AE}" pid="14" name="IntraZueriMandant">
    <vt:lpwstr>1;#SOD|d2ca4cc4-367d-4a9a-a3b2-38906409b4ae</vt:lpwstr>
  </property>
  <property fmtid="{D5CDD505-2E9C-101B-9397-08002B2CF9AE}" pid="15" name="Federführende/s Fachressort/Einheit">
    <vt:lpwstr>5</vt:lpwstr>
  </property>
  <property fmtid="{D5CDD505-2E9C-101B-9397-08002B2CF9AE}" pid="16" name="Herausgabe bei Informationszugangsgesuchen">
    <vt:lpwstr>kann herausgegeben werden</vt:lpwstr>
  </property>
  <property fmtid="{D5CDD505-2E9C-101B-9397-08002B2CF9AE}" pid="17" name="SKOS-Kapitel">
    <vt:lpwstr>1;#;#3;#</vt:lpwstr>
  </property>
  <property fmtid="{D5CDD505-2E9C-101B-9397-08002B2CF9AE}" pid="18" name="Thematische Zuordnung Fachressort(s)">
    <vt:lpwstr>5;#</vt:lpwstr>
  </property>
</Properties>
</file>