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70" w:tblpY="2"/>
        <w:tblW w:w="909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23"/>
        <w:gridCol w:w="4453"/>
        <w:gridCol w:w="2414"/>
      </w:tblGrid>
      <w:tr w:rsidR="00F66B23" w:rsidRPr="006C16B3" w14:paraId="42E402D6" w14:textId="77777777">
        <w:trPr>
          <w:trHeight w:val="1000"/>
        </w:trPr>
        <w:tc>
          <w:tcPr>
            <w:tcW w:w="2223" w:type="dxa"/>
            <w:tcBorders>
              <w:top w:val="single" w:sz="4" w:space="0" w:color="808080"/>
              <w:left w:val="single" w:sz="4" w:space="0" w:color="808080"/>
              <w:bottom w:val="single" w:sz="6" w:space="0" w:color="808080"/>
              <w:right w:val="single" w:sz="6" w:space="0" w:color="808080"/>
            </w:tcBorders>
            <w:shd w:val="clear" w:color="auto" w:fill="F3F3F3"/>
          </w:tcPr>
          <w:p w14:paraId="1E2F1B67" w14:textId="77777777" w:rsidR="00F66B23" w:rsidRPr="006C16B3" w:rsidRDefault="00F66B23">
            <w:pPr>
              <w:pStyle w:val="WeisungKopfteil"/>
              <w:spacing w:before="120" w:after="0"/>
              <w:rPr>
                <w:rFonts w:ascii="Arial" w:hAnsi="Arial"/>
                <w:sz w:val="22"/>
              </w:rPr>
            </w:pPr>
            <w:r w:rsidRPr="006C16B3">
              <w:rPr>
                <w:rFonts w:ascii="Arial" w:hAnsi="Arial"/>
                <w:sz w:val="22"/>
              </w:rPr>
              <w:t xml:space="preserve">Zuordnung: </w:t>
            </w:r>
          </w:p>
          <w:p w14:paraId="103B03A8" w14:textId="28B17A27" w:rsidR="00F66B23" w:rsidRPr="0017055F" w:rsidRDefault="00F66B23">
            <w:pPr>
              <w:pStyle w:val="WeisungKopfteil"/>
              <w:spacing w:before="120" w:after="0"/>
              <w:rPr>
                <w:rFonts w:ascii="Arial" w:hAnsi="Arial"/>
                <w:b w:val="0"/>
                <w:bCs/>
                <w:sz w:val="20"/>
                <w:szCs w:val="20"/>
              </w:rPr>
            </w:pPr>
            <w:r w:rsidRPr="0045008D">
              <w:rPr>
                <w:rFonts w:ascii="Arial" w:hAnsi="Arial"/>
                <w:b w:val="0"/>
                <w:sz w:val="20"/>
                <w:szCs w:val="20"/>
                <w:highlight w:val="yellow"/>
              </w:rPr>
              <w:t>SKOS</w:t>
            </w:r>
            <w:r w:rsidRPr="0017055F">
              <w:rPr>
                <w:rFonts w:ascii="Arial" w:hAnsi="Arial"/>
                <w:sz w:val="20"/>
                <w:szCs w:val="20"/>
                <w:highlight w:val="yellow"/>
              </w:rPr>
              <w:t xml:space="preserve"> </w:t>
            </w:r>
            <w:r w:rsidR="00CA5BEC" w:rsidRPr="0017055F">
              <w:rPr>
                <w:rFonts w:ascii="Arial" w:hAnsi="Arial"/>
                <w:b w:val="0"/>
                <w:bCs/>
                <w:sz w:val="20"/>
                <w:szCs w:val="20"/>
                <w:highlight w:val="yellow"/>
              </w:rPr>
              <w:t>E</w:t>
            </w:r>
          </w:p>
        </w:tc>
        <w:tc>
          <w:tcPr>
            <w:tcW w:w="4453" w:type="dxa"/>
            <w:tcBorders>
              <w:top w:val="single" w:sz="4" w:space="0" w:color="808080"/>
              <w:left w:val="single" w:sz="6" w:space="0" w:color="808080"/>
              <w:bottom w:val="single" w:sz="6" w:space="0" w:color="808080"/>
              <w:right w:val="single" w:sz="6" w:space="0" w:color="808080"/>
            </w:tcBorders>
            <w:shd w:val="clear" w:color="auto" w:fill="F3F3F3"/>
          </w:tcPr>
          <w:p w14:paraId="4307F137" w14:textId="77777777" w:rsidR="00F66B23" w:rsidRPr="006C16B3" w:rsidRDefault="00DB3BD7" w:rsidP="004B6AB2">
            <w:pPr>
              <w:pStyle w:val="WeisungKopfteil"/>
              <w:spacing w:before="120" w:after="0"/>
              <w:jc w:val="center"/>
              <w:rPr>
                <w:rFonts w:ascii="Arial" w:hAnsi="Arial"/>
                <w:sz w:val="22"/>
              </w:rPr>
            </w:pPr>
            <w:r w:rsidRPr="006C16B3">
              <w:rPr>
                <w:rFonts w:ascii="Arial" w:hAnsi="Arial"/>
                <w:sz w:val="22"/>
              </w:rPr>
              <w:t>Praxishilfe</w:t>
            </w:r>
          </w:p>
        </w:tc>
        <w:tc>
          <w:tcPr>
            <w:tcW w:w="2414" w:type="dxa"/>
            <w:tcBorders>
              <w:top w:val="single" w:sz="4" w:space="0" w:color="808080"/>
              <w:left w:val="single" w:sz="6" w:space="0" w:color="808080"/>
              <w:bottom w:val="single" w:sz="6" w:space="0" w:color="808080"/>
              <w:right w:val="single" w:sz="4" w:space="0" w:color="808080"/>
            </w:tcBorders>
            <w:shd w:val="clear" w:color="auto" w:fill="F3F3F3"/>
          </w:tcPr>
          <w:p w14:paraId="22BD92C4" w14:textId="77777777" w:rsidR="00F66B23" w:rsidRPr="006C16B3" w:rsidRDefault="00F66B23">
            <w:pPr>
              <w:pStyle w:val="WeisungKopfteil"/>
              <w:spacing w:before="120" w:after="0"/>
              <w:jc w:val="right"/>
              <w:rPr>
                <w:rFonts w:ascii="Arial" w:hAnsi="Arial"/>
                <w:sz w:val="22"/>
              </w:rPr>
            </w:pPr>
            <w:r w:rsidRPr="006C16B3">
              <w:rPr>
                <w:rFonts w:ascii="Arial" w:hAnsi="Arial"/>
                <w:sz w:val="22"/>
              </w:rPr>
              <w:t>Gültig ab</w:t>
            </w:r>
          </w:p>
          <w:p w14:paraId="2CA0962D" w14:textId="4AF696B0" w:rsidR="00CA5BEC" w:rsidRDefault="00CA5BEC" w:rsidP="003A5D1F">
            <w:pPr>
              <w:pStyle w:val="WeisungKopfteil"/>
              <w:spacing w:before="120" w:after="0"/>
              <w:jc w:val="right"/>
              <w:rPr>
                <w:rFonts w:ascii="Arial" w:hAnsi="Arial"/>
                <w:b w:val="0"/>
                <w:bCs/>
                <w:sz w:val="20"/>
              </w:rPr>
            </w:pPr>
            <w:r w:rsidRPr="0017055F">
              <w:rPr>
                <w:rFonts w:ascii="Arial" w:hAnsi="Arial"/>
                <w:b w:val="0"/>
                <w:bCs/>
                <w:sz w:val="20"/>
                <w:highlight w:val="yellow"/>
              </w:rPr>
              <w:t>01.01.2021</w:t>
            </w:r>
          </w:p>
          <w:p w14:paraId="61CE501B" w14:textId="21D8F7F7" w:rsidR="00F66B23" w:rsidRPr="006C16B3" w:rsidRDefault="00E31C80" w:rsidP="003A5D1F">
            <w:pPr>
              <w:pStyle w:val="WeisungKopfteil"/>
              <w:spacing w:before="120" w:after="0"/>
              <w:jc w:val="right"/>
              <w:rPr>
                <w:rFonts w:ascii="Arial" w:hAnsi="Arial"/>
                <w:b w:val="0"/>
                <w:bCs/>
                <w:sz w:val="20"/>
              </w:rPr>
            </w:pPr>
            <w:r>
              <w:rPr>
                <w:rFonts w:ascii="Arial" w:hAnsi="Arial"/>
                <w:b w:val="0"/>
                <w:bCs/>
                <w:sz w:val="20"/>
              </w:rPr>
              <w:t xml:space="preserve">ersetzt </w:t>
            </w:r>
            <w:r w:rsidR="003A5D1F" w:rsidRPr="003A5D1F">
              <w:rPr>
                <w:rFonts w:ascii="Arial" w:hAnsi="Arial"/>
                <w:b w:val="0"/>
                <w:bCs/>
                <w:sz w:val="20"/>
              </w:rPr>
              <w:t>01.07</w:t>
            </w:r>
            <w:r w:rsidR="008F20A4" w:rsidRPr="003A5D1F">
              <w:rPr>
                <w:rFonts w:ascii="Arial" w:hAnsi="Arial"/>
                <w:b w:val="0"/>
                <w:bCs/>
                <w:sz w:val="20"/>
              </w:rPr>
              <w:t>.2018</w:t>
            </w:r>
            <w:r w:rsidR="005C1591" w:rsidRPr="006C16B3">
              <w:rPr>
                <w:rFonts w:ascii="Arial" w:hAnsi="Arial"/>
                <w:b w:val="0"/>
                <w:bCs/>
                <w:sz w:val="20"/>
                <w:highlight w:val="yellow"/>
              </w:rPr>
              <w:br/>
            </w:r>
          </w:p>
        </w:tc>
      </w:tr>
      <w:tr w:rsidR="00F66B23" w:rsidRPr="006C16B3" w14:paraId="7C6EC6F7" w14:textId="77777777">
        <w:trPr>
          <w:cantSplit/>
          <w:trHeight w:val="410"/>
        </w:trPr>
        <w:tc>
          <w:tcPr>
            <w:tcW w:w="9090" w:type="dxa"/>
            <w:gridSpan w:val="3"/>
            <w:tcBorders>
              <w:top w:val="single" w:sz="6" w:space="0" w:color="808080"/>
              <w:left w:val="single" w:sz="4" w:space="0" w:color="808080"/>
              <w:bottom w:val="single" w:sz="4" w:space="0" w:color="808080"/>
              <w:right w:val="single" w:sz="4" w:space="0" w:color="808080"/>
            </w:tcBorders>
          </w:tcPr>
          <w:p w14:paraId="404D9C37" w14:textId="4D3C3F3A" w:rsidR="00F66B23" w:rsidRPr="006C16B3" w:rsidRDefault="003A5D1F" w:rsidP="003A5D1F">
            <w:pPr>
              <w:pStyle w:val="Titel"/>
              <w:framePr w:hSpace="0" w:wrap="auto" w:vAnchor="margin" w:hAnchor="text" w:xAlign="left" w:yAlign="inline"/>
            </w:pPr>
            <w:bookmarkStart w:id="0" w:name="OLE_LINK2"/>
            <w:bookmarkStart w:id="1" w:name="OLE_LINK3"/>
            <w:r>
              <w:t xml:space="preserve">Verrechnung </w:t>
            </w:r>
            <w:bookmarkEnd w:id="0"/>
            <w:bookmarkEnd w:id="1"/>
          </w:p>
        </w:tc>
      </w:tr>
    </w:tbl>
    <w:p w14:paraId="40D3DB88" w14:textId="77777777" w:rsidR="00FD4BFE" w:rsidRDefault="00FD4BFE" w:rsidP="00D96703"/>
    <w:p w14:paraId="15EE4739" w14:textId="77777777" w:rsidR="00F66B23" w:rsidRDefault="00DB3BD7" w:rsidP="003D52B9">
      <w:pPr>
        <w:pStyle w:val="berschrift1"/>
      </w:pPr>
      <w:r>
        <w:t>Grundsatz</w:t>
      </w:r>
    </w:p>
    <w:p w14:paraId="15A95E72" w14:textId="77777777" w:rsidR="00E93CEE" w:rsidRDefault="00E93CEE" w:rsidP="00F7478F">
      <w:pPr>
        <w:pStyle w:val="Absatz0"/>
        <w:tabs>
          <w:tab w:val="left" w:pos="1980"/>
          <w:tab w:val="left" w:pos="2970"/>
        </w:tabs>
        <w:spacing w:after="120"/>
        <w:rPr>
          <w:b/>
        </w:rPr>
      </w:pPr>
    </w:p>
    <w:p w14:paraId="17404E3E" w14:textId="3E13B8E7" w:rsidR="00C33CC1" w:rsidRPr="00CA5214" w:rsidRDefault="00F7478F" w:rsidP="00F7478F">
      <w:pPr>
        <w:pStyle w:val="Absatz0"/>
        <w:tabs>
          <w:tab w:val="left" w:pos="1980"/>
          <w:tab w:val="left" w:pos="2970"/>
        </w:tabs>
        <w:spacing w:after="120"/>
      </w:pPr>
      <w:r w:rsidRPr="00F7478F">
        <w:rPr>
          <w:b/>
        </w:rPr>
        <w:t>Verrechnung:</w:t>
      </w:r>
      <w:r>
        <w:t xml:space="preserve"> </w:t>
      </w:r>
      <w:r w:rsidR="008D7BCD" w:rsidRPr="00CA5214">
        <w:t xml:space="preserve">Schuldentilgung </w:t>
      </w:r>
      <w:r w:rsidR="00407DD0" w:rsidRPr="00CA5214">
        <w:t xml:space="preserve">der Klientin/des Klienten </w:t>
      </w:r>
      <w:r w:rsidR="00CD5A6D" w:rsidRPr="00CA5214">
        <w:t>gegenüber den</w:t>
      </w:r>
      <w:r w:rsidR="00407DD0" w:rsidRPr="00CA5214">
        <w:t xml:space="preserve"> SOD mit</w:t>
      </w:r>
      <w:r w:rsidR="00CD5A6D" w:rsidRPr="00CA5214">
        <w:t xml:space="preserve">tels </w:t>
      </w:r>
      <w:r w:rsidR="00407DD0" w:rsidRPr="00CA5214">
        <w:t>Budget</w:t>
      </w:r>
      <w:r w:rsidR="00CD5A6D" w:rsidRPr="00CA5214">
        <w:t>abzug</w:t>
      </w:r>
      <w:r w:rsidR="00407DD0" w:rsidRPr="00CA5214">
        <w:t xml:space="preserve"> während einer laufenden Unterstützung</w:t>
      </w:r>
      <w:r w:rsidR="00406493">
        <w:t>.</w:t>
      </w:r>
    </w:p>
    <w:p w14:paraId="0D2C7E6B" w14:textId="77777777" w:rsidR="00F7478F" w:rsidRDefault="00F7478F" w:rsidP="00D96703">
      <w:pPr>
        <w:pStyle w:val="Absatz0"/>
        <w:tabs>
          <w:tab w:val="left" w:pos="2530"/>
          <w:tab w:val="num" w:pos="3080"/>
        </w:tabs>
      </w:pPr>
    </w:p>
    <w:p w14:paraId="7EFA87F7" w14:textId="70FFAB1C" w:rsidR="00F7478F" w:rsidRDefault="00F7478F" w:rsidP="00D96703">
      <w:pPr>
        <w:pStyle w:val="Absatz0"/>
        <w:tabs>
          <w:tab w:val="left" w:pos="2530"/>
          <w:tab w:val="num" w:pos="3080"/>
        </w:tabs>
      </w:pPr>
      <w:r w:rsidRPr="003A5D1F">
        <w:t>Entscheide dürfen erst umgesetzt werden, nachdem sie rechtskräftig geworden sind. Das ist der Fall, wenn gegen den Entscheid innert der jeweils 30</w:t>
      </w:r>
      <w:r w:rsidR="00CA5BEC">
        <w:t>-</w:t>
      </w:r>
      <w:r w:rsidRPr="003A5D1F">
        <w:t>tägigen Rechtsmittelfrist kein Rechtsmittel ergriffen worden ist. Die Frist beginnt am Folgetag nach der Zustellung des Entscheids zu laufen. Gezählt werden alle Wochentage. Wurde ein Rechtsmittel ergriffen, muss mit der Umsetzung zugewartet werden, bis die zuständige Rechtsmittelinstanz darüber entschieden hat und dieser Entscheid rechtskräftig geworden ist</w:t>
      </w:r>
      <w:r w:rsidR="00D37FB1" w:rsidRPr="003A5D1F">
        <w:t xml:space="preserve"> (Instanzenzug: Sozialbehörde &gt; Bezirksrat &gt; Verwaltungsgericht &gt; Bundesgericht)</w:t>
      </w:r>
      <w:r w:rsidRPr="003A5D1F">
        <w:t>. Ob das der Fall ist, bestätigt die jeweilige Rechtsmittelinstanz.</w:t>
      </w:r>
    </w:p>
    <w:p w14:paraId="4A64E7F1" w14:textId="77777777" w:rsidR="00F7478F" w:rsidRPr="00DF6667" w:rsidRDefault="00F7478F" w:rsidP="00D96703">
      <w:pPr>
        <w:pStyle w:val="Absatz0"/>
        <w:tabs>
          <w:tab w:val="left" w:pos="2530"/>
          <w:tab w:val="num" w:pos="3080"/>
        </w:tabs>
      </w:pPr>
    </w:p>
    <w:p w14:paraId="58266E07" w14:textId="77777777" w:rsidR="008675F1" w:rsidRDefault="008675F1" w:rsidP="008675F1">
      <w:pPr>
        <w:pStyle w:val="berschrift1"/>
      </w:pPr>
      <w:r>
        <w:t>Verrechnung</w:t>
      </w:r>
    </w:p>
    <w:p w14:paraId="22E29F02" w14:textId="77777777" w:rsidR="00A713E8" w:rsidRDefault="00A713E8" w:rsidP="008675F1">
      <w:pPr>
        <w:pStyle w:val="Absatz0"/>
        <w:spacing w:after="120"/>
        <w:rPr>
          <w:b/>
        </w:rPr>
      </w:pPr>
    </w:p>
    <w:p w14:paraId="26EDAA6E" w14:textId="3A351E92" w:rsidR="008675F1" w:rsidRDefault="008675F1" w:rsidP="008675F1">
      <w:pPr>
        <w:pStyle w:val="Absatz0"/>
        <w:spacing w:after="120"/>
        <w:rPr>
          <w:b/>
        </w:rPr>
      </w:pPr>
      <w:r>
        <w:rPr>
          <w:b/>
        </w:rPr>
        <w:t>Grundlagen</w:t>
      </w:r>
    </w:p>
    <w:p w14:paraId="06B0096B" w14:textId="5D337A6E" w:rsidR="00DF6667" w:rsidRDefault="00DF6667" w:rsidP="008675F1">
      <w:pPr>
        <w:pStyle w:val="Absatz0"/>
        <w:spacing w:after="120"/>
      </w:pPr>
      <w:r>
        <w:t xml:space="preserve">Im Zusammenhang mit der Verrechnung </w:t>
      </w:r>
      <w:r w:rsidR="002A131E">
        <w:t xml:space="preserve">sind </w:t>
      </w:r>
      <w:r w:rsidR="00934D9A">
        <w:t xml:space="preserve">Ziffer 1 (Grundsatz) und Ziffer 2.1 (Umfang) </w:t>
      </w:r>
      <w:r w:rsidR="00934D9A" w:rsidRPr="0035681D">
        <w:t>der</w:t>
      </w:r>
      <w:r w:rsidR="0035681D">
        <w:t xml:space="preserve"> </w:t>
      </w:r>
      <w:hyperlink r:id="rId13" w:history="1">
        <w:r w:rsidR="0035681D" w:rsidRPr="00582569">
          <w:rPr>
            <w:rStyle w:val="Hyperlink"/>
          </w:rPr>
          <w:t xml:space="preserve">HAW </w:t>
        </w:r>
        <w:r w:rsidRPr="00582569">
          <w:rPr>
            <w:rStyle w:val="Hyperlink"/>
          </w:rPr>
          <w:t>Grundsätze der Rückforderung</w:t>
        </w:r>
        <w:r w:rsidR="0035681D" w:rsidRPr="00582569">
          <w:rPr>
            <w:rStyle w:val="Hyperlink"/>
          </w:rPr>
          <w:t xml:space="preserve"> von Leistungen der Sozialhilfe</w:t>
        </w:r>
      </w:hyperlink>
      <w:bookmarkStart w:id="2" w:name="_GoBack"/>
      <w:bookmarkEnd w:id="2"/>
      <w:r w:rsidRPr="0035681D">
        <w:t xml:space="preserve"> </w:t>
      </w:r>
      <w:r>
        <w:t>zu beachten. Die Rückerstattung bei rechtmässigem Leistungsbezug ist nicht Bestandteil dieser Praxishilfe.</w:t>
      </w:r>
    </w:p>
    <w:p w14:paraId="2A65FDFA" w14:textId="77777777" w:rsidR="001B5996" w:rsidRDefault="001B5996" w:rsidP="008675F1">
      <w:pPr>
        <w:pStyle w:val="Absatz0"/>
        <w:spacing w:after="120"/>
      </w:pPr>
      <w:r>
        <w:t xml:space="preserve">Um </w:t>
      </w:r>
      <w:r w:rsidR="007471CA">
        <w:t xml:space="preserve">Forderungen der SOD mit laufenden Unterstützungsleistungen </w:t>
      </w:r>
      <w:r w:rsidR="00C85F6E">
        <w:t>verrechnen zu können</w:t>
      </w:r>
      <w:r>
        <w:t>, muss ein rechtskräftiger Rück</w:t>
      </w:r>
      <w:r w:rsidR="007471CA">
        <w:t>forderung</w:t>
      </w:r>
      <w:r>
        <w:t xml:space="preserve">sentscheid vorliegen. In der Regel begründet sich dieser auf: </w:t>
      </w:r>
    </w:p>
    <w:p w14:paraId="25CD2AD3" w14:textId="370AB9C5" w:rsidR="001B5996" w:rsidRDefault="001B5996" w:rsidP="007471CA">
      <w:pPr>
        <w:pStyle w:val="Absatz0"/>
        <w:numPr>
          <w:ilvl w:val="0"/>
          <w:numId w:val="30"/>
        </w:numPr>
        <w:tabs>
          <w:tab w:val="clear" w:pos="1077"/>
          <w:tab w:val="num" w:pos="440"/>
        </w:tabs>
        <w:spacing w:after="120"/>
        <w:ind w:left="440" w:hanging="440"/>
      </w:pPr>
      <w:r>
        <w:t xml:space="preserve">§ 26 SHG </w:t>
      </w:r>
      <w:r w:rsidR="00F475A5">
        <w:t xml:space="preserve">und SKOS </w:t>
      </w:r>
      <w:r w:rsidR="00F475A5" w:rsidRPr="0017055F">
        <w:rPr>
          <w:highlight w:val="yellow"/>
        </w:rPr>
        <w:t>E.</w:t>
      </w:r>
      <w:r w:rsidR="00CA5BEC" w:rsidRPr="0017055F">
        <w:rPr>
          <w:highlight w:val="yellow"/>
        </w:rPr>
        <w:t>1</w:t>
      </w:r>
      <w:r>
        <w:t>:</w:t>
      </w:r>
      <w:r>
        <w:br/>
        <w:t>unrechtmäs</w:t>
      </w:r>
      <w:r w:rsidR="007471CA">
        <w:t>siger oder rechtsmissbräuchlicher Leistungsbezug (Verletzung von Auskunfts- und Meldepflicht, zweckwidrige Verwendung)</w:t>
      </w:r>
    </w:p>
    <w:p w14:paraId="4AF0B3AC" w14:textId="77777777" w:rsidR="00452BA4" w:rsidRDefault="007471CA" w:rsidP="00D440AD">
      <w:pPr>
        <w:pStyle w:val="Absatz0"/>
        <w:numPr>
          <w:ilvl w:val="0"/>
          <w:numId w:val="30"/>
        </w:numPr>
        <w:tabs>
          <w:tab w:val="clear" w:pos="1077"/>
          <w:tab w:val="num" w:pos="440"/>
        </w:tabs>
        <w:spacing w:after="120"/>
        <w:ind w:left="440" w:hanging="440"/>
      </w:pPr>
      <w:r>
        <w:t xml:space="preserve">Art. 62 ff. OR: </w:t>
      </w:r>
      <w:r>
        <w:br/>
        <w:t>ungerechtfertigte Bereicherung (zu viel erhaltene Sozialhilfe aufgrund falscher Berechnung oder fälschlicherweise erfolgter Auszahlung durch die SOD, ohne Verschu</w:t>
      </w:r>
      <w:r w:rsidR="00D440AD">
        <w:t>lden der Klientin/des Klienten)</w:t>
      </w:r>
    </w:p>
    <w:p w14:paraId="0F29B138" w14:textId="77777777" w:rsidR="007471CA" w:rsidRDefault="007471CA" w:rsidP="00C95AC4">
      <w:pPr>
        <w:pStyle w:val="Absatz0"/>
      </w:pPr>
    </w:p>
    <w:p w14:paraId="4D805BC1" w14:textId="77777777" w:rsidR="008675F1" w:rsidRDefault="008675F1" w:rsidP="008675F1">
      <w:pPr>
        <w:pStyle w:val="Absatz0"/>
        <w:spacing w:after="120"/>
        <w:rPr>
          <w:b/>
        </w:rPr>
      </w:pPr>
      <w:r>
        <w:rPr>
          <w:b/>
        </w:rPr>
        <w:t>Einzuhaltende Prinzipien</w:t>
      </w:r>
    </w:p>
    <w:p w14:paraId="504CCD9C" w14:textId="0E98AA05" w:rsidR="00452BA4" w:rsidRPr="00F7478F" w:rsidRDefault="00452BA4" w:rsidP="008675F1">
      <w:pPr>
        <w:pStyle w:val="Absatz0"/>
        <w:numPr>
          <w:ilvl w:val="0"/>
          <w:numId w:val="11"/>
        </w:numPr>
      </w:pPr>
      <w:r>
        <w:t xml:space="preserve">Es </w:t>
      </w:r>
      <w:r w:rsidR="00C85F6E">
        <w:t>liegt ein rechtskräftiger Rückforderungsentscheid vor</w:t>
      </w:r>
      <w:r w:rsidR="00F7478F">
        <w:t>.</w:t>
      </w:r>
    </w:p>
    <w:p w14:paraId="2D78B2FD" w14:textId="77777777" w:rsidR="008675F1" w:rsidRDefault="00CD5A6D" w:rsidP="00452BA4">
      <w:pPr>
        <w:pStyle w:val="Absatz0"/>
        <w:numPr>
          <w:ilvl w:val="0"/>
          <w:numId w:val="11"/>
        </w:numPr>
      </w:pPr>
      <w:r>
        <w:t xml:space="preserve">Die Höhe des monatlichen Verrechnungsabzugs steht </w:t>
      </w:r>
      <w:r w:rsidR="008675F1">
        <w:t xml:space="preserve">in einem angemessenen Verhältnis zum </w:t>
      </w:r>
      <w:r w:rsidR="00452BA4">
        <w:t>(</w:t>
      </w:r>
      <w:r w:rsidR="008675F1">
        <w:t>Fehl</w:t>
      </w:r>
      <w:r>
        <w:t>-)</w:t>
      </w:r>
      <w:r w:rsidR="00452BA4">
        <w:t>V</w:t>
      </w:r>
      <w:r w:rsidR="008675F1">
        <w:t>erhalten/Verschulden</w:t>
      </w:r>
      <w:r w:rsidR="00C85F6E">
        <w:t xml:space="preserve"> der Klientin/des Klienten</w:t>
      </w:r>
      <w:r w:rsidR="008675F1">
        <w:t xml:space="preserve">. </w:t>
      </w:r>
    </w:p>
    <w:p w14:paraId="0A775B2C" w14:textId="3BBD3445" w:rsidR="008675F1" w:rsidRPr="00DB1157" w:rsidRDefault="00E05484" w:rsidP="00E05484">
      <w:pPr>
        <w:pStyle w:val="Listenabsatz"/>
        <w:numPr>
          <w:ilvl w:val="0"/>
          <w:numId w:val="11"/>
        </w:numPr>
        <w:rPr>
          <w:sz w:val="20"/>
        </w:rPr>
      </w:pPr>
      <w:r w:rsidRPr="00CD2478">
        <w:t>Die Bedürfnisse von mitunterstützten Personen, insbesondere von Minderjährigen, werden angemessen berücksichtigt.</w:t>
      </w:r>
      <w:r w:rsidR="00DB1157">
        <w:rPr>
          <w:color w:val="FF0000"/>
        </w:rPr>
        <w:t xml:space="preserve"> </w:t>
      </w:r>
      <w:r w:rsidR="00DB1157" w:rsidRPr="00DB1157">
        <w:t>Die Wegleitung Instrument Kindeswohl sowie die entsprechenden Formulare des FS KJH helfen bei der Einschätzung der Bedürfnisse von Minderjährigen.</w:t>
      </w:r>
    </w:p>
    <w:p w14:paraId="4A2333BB" w14:textId="6A553EEA" w:rsidR="00727FDB" w:rsidRPr="008F20A4" w:rsidRDefault="00727FDB" w:rsidP="009B08FA">
      <w:pPr>
        <w:pStyle w:val="Absatz0"/>
        <w:numPr>
          <w:ilvl w:val="0"/>
          <w:numId w:val="11"/>
        </w:numPr>
      </w:pPr>
      <w:r w:rsidRPr="00F7478F">
        <w:lastRenderedPageBreak/>
        <w:t xml:space="preserve">Fallen gleichzeitig </w:t>
      </w:r>
      <w:r w:rsidR="0085043C" w:rsidRPr="00F7478F">
        <w:t>Verrechnung</w:t>
      </w:r>
      <w:r w:rsidRPr="00F7478F">
        <w:t>en und</w:t>
      </w:r>
      <w:r w:rsidR="0085043C" w:rsidRPr="00F7478F">
        <w:t xml:space="preserve"> Kürzung</w:t>
      </w:r>
      <w:r w:rsidRPr="00F7478F">
        <w:t>en</w:t>
      </w:r>
      <w:r w:rsidR="0085043C" w:rsidRPr="00F7478F">
        <w:t xml:space="preserve"> an</w:t>
      </w:r>
      <w:r w:rsidR="003C2D7A" w:rsidRPr="00F7478F">
        <w:t>,</w:t>
      </w:r>
      <w:r w:rsidRPr="00F7478F">
        <w:t xml:space="preserve"> so sind die einzuhaltenden </w:t>
      </w:r>
      <w:r w:rsidR="003C2D7A" w:rsidRPr="00F7478F">
        <w:t>Prinzi</w:t>
      </w:r>
      <w:r w:rsidR="003C2D7A" w:rsidRPr="00406493">
        <w:t>pien</w:t>
      </w:r>
      <w:r w:rsidRPr="00406493">
        <w:t>, die Kompetenzen</w:t>
      </w:r>
      <w:r w:rsidR="003C2D7A" w:rsidRPr="00406493">
        <w:t>,</w:t>
      </w:r>
      <w:r w:rsidRPr="00406493">
        <w:t xml:space="preserve"> der Umfang und die Dauer gemäss Ziff. 3 (Kürzung) einzuhalten.</w:t>
      </w:r>
    </w:p>
    <w:p w14:paraId="07A9E3BE" w14:textId="4384717D" w:rsidR="008675F1" w:rsidRPr="00E46383" w:rsidRDefault="00086A40" w:rsidP="008675F1">
      <w:pPr>
        <w:pStyle w:val="Absatz0"/>
        <w:rPr>
          <w:b/>
        </w:rPr>
      </w:pPr>
      <w:r>
        <w:t xml:space="preserve"> </w:t>
      </w:r>
    </w:p>
    <w:p w14:paraId="1B92AE11" w14:textId="77777777" w:rsidR="008675F1" w:rsidRPr="002F2B7D" w:rsidRDefault="00C85F6E" w:rsidP="008675F1">
      <w:pPr>
        <w:pStyle w:val="Absatz0"/>
        <w:spacing w:after="120"/>
        <w:rPr>
          <w:b/>
        </w:rPr>
      </w:pPr>
      <w:r w:rsidRPr="002F2B7D">
        <w:rPr>
          <w:b/>
        </w:rPr>
        <w:t>Verrechnungsu</w:t>
      </w:r>
      <w:r w:rsidR="008675F1" w:rsidRPr="002F2B7D">
        <w:rPr>
          <w:b/>
        </w:rPr>
        <w:t xml:space="preserve">mfang und </w:t>
      </w:r>
      <w:r w:rsidRPr="002F2B7D">
        <w:rPr>
          <w:b/>
        </w:rPr>
        <w:t>-d</w:t>
      </w:r>
      <w:r w:rsidR="008675F1" w:rsidRPr="002F2B7D">
        <w:rPr>
          <w:b/>
        </w:rPr>
        <w:t>auer</w:t>
      </w:r>
    </w:p>
    <w:p w14:paraId="652C84EF" w14:textId="7A263CDF" w:rsidR="003819CD" w:rsidRPr="008F20A4" w:rsidRDefault="003819CD" w:rsidP="003819CD">
      <w:pPr>
        <w:pStyle w:val="Absatz0"/>
        <w:numPr>
          <w:ilvl w:val="0"/>
          <w:numId w:val="13"/>
        </w:numPr>
      </w:pPr>
      <w:r w:rsidRPr="002F2B7D">
        <w:t>Verrechnung der Rückerstattungsforderung mit max. 15</w:t>
      </w:r>
      <w:r w:rsidR="00CE32BE">
        <w:t xml:space="preserve"> </w:t>
      </w:r>
      <w:r w:rsidRPr="002F2B7D">
        <w:t>% des Grundbedarfes (GBL)</w:t>
      </w:r>
      <w:r w:rsidR="00727FDB">
        <w:t>.</w:t>
      </w:r>
      <w:r w:rsidR="00DB1157">
        <w:t xml:space="preserve"> </w:t>
      </w:r>
      <w:r w:rsidR="00DB1157" w:rsidRPr="00F7478F">
        <w:t xml:space="preserve">Eine Verrechnung mit mehr als 15 % des GBL ist </w:t>
      </w:r>
      <w:r w:rsidR="00D37FB1">
        <w:t xml:space="preserve">bei der SOD </w:t>
      </w:r>
      <w:r w:rsidR="00DB1157" w:rsidRPr="00F7478F">
        <w:t>nicht zulässig.</w:t>
      </w:r>
      <w:r w:rsidR="00DB1157" w:rsidRPr="008F20A4">
        <w:t xml:space="preserve"> </w:t>
      </w:r>
    </w:p>
    <w:p w14:paraId="1EA4929F" w14:textId="7287402C" w:rsidR="00CE32BE" w:rsidRPr="009B08FA" w:rsidRDefault="00623B68" w:rsidP="008675F1">
      <w:pPr>
        <w:pStyle w:val="Absatz0"/>
        <w:numPr>
          <w:ilvl w:val="0"/>
          <w:numId w:val="13"/>
        </w:numPr>
        <w:rPr>
          <w:b/>
        </w:rPr>
      </w:pPr>
      <w:r w:rsidRPr="002F2B7D">
        <w:t>Verrechnung der Rückerstattungsforderung mit Einkommensfreibetrag</w:t>
      </w:r>
      <w:r w:rsidR="00CE32BE">
        <w:t xml:space="preserve"> oder Integrationszulage </w:t>
      </w:r>
      <w:r w:rsidR="0076232B">
        <w:t>(</w:t>
      </w:r>
      <w:r w:rsidRPr="002F2B7D">
        <w:t>Streichung oder Reduktion)</w:t>
      </w:r>
      <w:r w:rsidR="00727FDB">
        <w:t>.</w:t>
      </w:r>
    </w:p>
    <w:p w14:paraId="034E99B2" w14:textId="2A99B25B" w:rsidR="008675F1" w:rsidRPr="00DF6667" w:rsidRDefault="00CD5A6D" w:rsidP="008675F1">
      <w:pPr>
        <w:pStyle w:val="Absatz0"/>
        <w:numPr>
          <w:ilvl w:val="0"/>
          <w:numId w:val="13"/>
        </w:numPr>
        <w:rPr>
          <w:b/>
        </w:rPr>
      </w:pPr>
      <w:r>
        <w:t>Verrechnung</w:t>
      </w:r>
      <w:r w:rsidR="003819CD" w:rsidRPr="0066231F">
        <w:t xml:space="preserve"> w</w:t>
      </w:r>
      <w:r w:rsidR="008675F1" w:rsidRPr="0066231F">
        <w:t xml:space="preserve">ährend </w:t>
      </w:r>
      <w:r>
        <w:t xml:space="preserve">vorerst </w:t>
      </w:r>
      <w:r w:rsidR="008675F1" w:rsidRPr="0066231F">
        <w:t>maximal 12 Monaten</w:t>
      </w:r>
      <w:r w:rsidR="00CD2478">
        <w:t>. M</w:t>
      </w:r>
      <w:r w:rsidR="008675F1" w:rsidRPr="0066231F">
        <w:t xml:space="preserve">it einem neuen Entscheid ist eine Verlängerung um jeweils </w:t>
      </w:r>
      <w:r>
        <w:t>maximal</w:t>
      </w:r>
      <w:r w:rsidR="003819CD" w:rsidRPr="0066231F">
        <w:t xml:space="preserve"> </w:t>
      </w:r>
      <w:r w:rsidR="008675F1" w:rsidRPr="0066231F">
        <w:t>weitere 12 Monate möglich</w:t>
      </w:r>
      <w:r w:rsidR="00D440AD">
        <w:t>.</w:t>
      </w:r>
      <w:r w:rsidR="00086A40">
        <w:t xml:space="preserve"> </w:t>
      </w:r>
    </w:p>
    <w:p w14:paraId="796AE94C" w14:textId="77777777" w:rsidR="00DF6667" w:rsidRPr="0066231F" w:rsidRDefault="00DF6667" w:rsidP="00C95AC4">
      <w:pPr>
        <w:pStyle w:val="Absatz0"/>
        <w:spacing w:before="120"/>
        <w:rPr>
          <w:b/>
        </w:rPr>
      </w:pPr>
    </w:p>
    <w:p w14:paraId="15850C30" w14:textId="77777777" w:rsidR="008675F1" w:rsidRDefault="008675F1" w:rsidP="008675F1">
      <w:pPr>
        <w:pStyle w:val="Absatz0"/>
        <w:spacing w:after="120"/>
        <w:rPr>
          <w:b/>
        </w:rPr>
      </w:pPr>
      <w:r w:rsidRPr="0066231F">
        <w:rPr>
          <w:b/>
        </w:rPr>
        <w:t>Vorgehen</w:t>
      </w:r>
    </w:p>
    <w:p w14:paraId="2C315658" w14:textId="77777777" w:rsidR="00CD5A6D" w:rsidRPr="002A131E" w:rsidRDefault="00CD5A6D" w:rsidP="00CD5A6D">
      <w:pPr>
        <w:pStyle w:val="Absatz0"/>
        <w:numPr>
          <w:ilvl w:val="0"/>
          <w:numId w:val="14"/>
        </w:numPr>
      </w:pPr>
      <w:r w:rsidRPr="002A131E">
        <w:t>Die Klientin/der Klient wird über die bea</w:t>
      </w:r>
      <w:r w:rsidR="002A131E" w:rsidRPr="002A131E">
        <w:t>bsichtigten Schritte informiert und</w:t>
      </w:r>
      <w:r w:rsidR="00EC4C57" w:rsidRPr="002A131E">
        <w:t xml:space="preserve"> </w:t>
      </w:r>
      <w:r w:rsidRPr="002A131E">
        <w:t>erhält die Möglich</w:t>
      </w:r>
      <w:r w:rsidR="002A131E" w:rsidRPr="002A131E">
        <w:t xml:space="preserve">keit, ihre/seine Verfahrensrechte (Akteneinsicht, Rechtsbeistand, Stellungnahme etc.) wahrzunehmen. Die „Gewährung des rechtlichen Gehörs“ ist in der </w:t>
      </w:r>
      <w:proofErr w:type="spellStart"/>
      <w:r w:rsidR="002A131E" w:rsidRPr="002A131E">
        <w:t>Fallakte</w:t>
      </w:r>
      <w:proofErr w:type="spellEnd"/>
      <w:r w:rsidR="002A131E" w:rsidRPr="002A131E">
        <w:t xml:space="preserve"> zu dokumentieren (Gesprächsnotiz, Briefkopien o. ä.).</w:t>
      </w:r>
    </w:p>
    <w:p w14:paraId="7BCA3DB0" w14:textId="77777777" w:rsidR="008675F1" w:rsidRPr="002A131E" w:rsidRDefault="008675F1" w:rsidP="008675F1">
      <w:pPr>
        <w:pStyle w:val="Absatz0"/>
        <w:numPr>
          <w:ilvl w:val="0"/>
          <w:numId w:val="14"/>
        </w:numPr>
      </w:pPr>
      <w:r w:rsidRPr="002A131E">
        <w:t xml:space="preserve">Schriftliche </w:t>
      </w:r>
      <w:r w:rsidR="00976512" w:rsidRPr="002A131E">
        <w:t>Mitteilung</w:t>
      </w:r>
      <w:r w:rsidRPr="002A131E">
        <w:t xml:space="preserve"> des zurückzuerstattenden </w:t>
      </w:r>
      <w:r w:rsidR="00D96703">
        <w:t xml:space="preserve">Totalbetrages, </w:t>
      </w:r>
      <w:r w:rsidR="002A131E" w:rsidRPr="002A131E">
        <w:t>gegebenenfalls d</w:t>
      </w:r>
      <w:r w:rsidR="00D96703">
        <w:t>er Teilbeträge</w:t>
      </w:r>
      <w:r w:rsidR="002A131E" w:rsidRPr="002A131E">
        <w:t xml:space="preserve"> (</w:t>
      </w:r>
      <w:r w:rsidR="00BC00AB" w:rsidRPr="002A131E">
        <w:t>i</w:t>
      </w:r>
      <w:r w:rsidRPr="002A131E">
        <w:t>nkl. der relevanten Rechts</w:t>
      </w:r>
      <w:r w:rsidR="00BC00AB" w:rsidRPr="002A131E">
        <w:t>grundlagen</w:t>
      </w:r>
      <w:r w:rsidR="002A131E" w:rsidRPr="002A131E">
        <w:t>)</w:t>
      </w:r>
      <w:r w:rsidRPr="002A131E">
        <w:t xml:space="preserve"> und des</w:t>
      </w:r>
      <w:r w:rsidR="00976512" w:rsidRPr="002A131E">
        <w:t xml:space="preserve"> Verrechnungsmodus in Form einer</w:t>
      </w:r>
      <w:r w:rsidRPr="002A131E">
        <w:t xml:space="preserve"> </w:t>
      </w:r>
      <w:proofErr w:type="spellStart"/>
      <w:r w:rsidRPr="002A131E">
        <w:t>einsprachefähigen</w:t>
      </w:r>
      <w:proofErr w:type="spellEnd"/>
      <w:r w:rsidRPr="002A131E">
        <w:t xml:space="preserve"> </w:t>
      </w:r>
      <w:r w:rsidR="00976512" w:rsidRPr="002A131E">
        <w:t>Verfügung</w:t>
      </w:r>
      <w:r w:rsidR="00CD5A6D" w:rsidRPr="002A131E">
        <w:t>.</w:t>
      </w:r>
    </w:p>
    <w:p w14:paraId="18AD9355" w14:textId="77777777" w:rsidR="008675F1" w:rsidRDefault="008675F1" w:rsidP="008675F1">
      <w:pPr>
        <w:pStyle w:val="Absatz0"/>
      </w:pPr>
    </w:p>
    <w:p w14:paraId="4C320EC5" w14:textId="11BF427C" w:rsidR="00D96703" w:rsidRDefault="002671E5" w:rsidP="00F7478F">
      <w:pPr>
        <w:pStyle w:val="Absatz0"/>
        <w:tabs>
          <w:tab w:val="left" w:pos="1760"/>
          <w:tab w:val="left" w:pos="2310"/>
        </w:tabs>
        <w:spacing w:after="120"/>
      </w:pPr>
      <w:r>
        <w:t xml:space="preserve">In begründeten Fällen kann auf eine Verrechnung der Schuld verzichtet werden (SEK). </w:t>
      </w:r>
    </w:p>
    <w:p w14:paraId="3B1CCE99" w14:textId="77777777" w:rsidR="00481E3A" w:rsidRDefault="00481E3A" w:rsidP="00A51658">
      <w:pPr>
        <w:pStyle w:val="Absatz0"/>
      </w:pPr>
    </w:p>
    <w:sectPr w:rsidR="00481E3A" w:rsidSect="00C95AC4">
      <w:headerReference w:type="default" r:id="rId14"/>
      <w:footerReference w:type="default" r:id="rId15"/>
      <w:headerReference w:type="first" r:id="rId16"/>
      <w:footerReference w:type="first" r:id="rId17"/>
      <w:type w:val="continuous"/>
      <w:pgSz w:w="11906" w:h="16838" w:code="9"/>
      <w:pgMar w:top="1985" w:right="1134" w:bottom="1418" w:left="1701" w:header="567" w:footer="22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7E27B9" w14:textId="77777777" w:rsidR="00CA5BEC" w:rsidRDefault="00CA5BEC">
      <w:r>
        <w:separator/>
      </w:r>
    </w:p>
  </w:endnote>
  <w:endnote w:type="continuationSeparator" w:id="0">
    <w:p w14:paraId="57F6D2C6" w14:textId="77777777" w:rsidR="00CA5BEC" w:rsidRDefault="00CA5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CA5BEC" w14:paraId="24F1CE24" w14:textId="77777777" w:rsidTr="00D440AD">
      <w:trPr>
        <w:trHeight w:val="284"/>
      </w:trPr>
      <w:tc>
        <w:tcPr>
          <w:tcW w:w="5063" w:type="dxa"/>
        </w:tcPr>
        <w:p w14:paraId="5A6F6329" w14:textId="481323EB" w:rsidR="00CA5BEC" w:rsidRDefault="00CA5BEC" w:rsidP="00D440AD">
          <w:pPr>
            <w:pStyle w:val="Fuzeile"/>
            <w:tabs>
              <w:tab w:val="clear" w:pos="4536"/>
              <w:tab w:val="clear" w:pos="9072"/>
              <w:tab w:val="right" w:pos="5057"/>
            </w:tabs>
            <w:rPr>
              <w:sz w:val="17"/>
            </w:rPr>
          </w:pPr>
          <w:r>
            <w:rPr>
              <w:sz w:val="17"/>
            </w:rPr>
            <w:t>PRA Verrechnung</w:t>
          </w:r>
          <w:r>
            <w:rPr>
              <w:sz w:val="17"/>
            </w:rPr>
            <w:tab/>
          </w:r>
        </w:p>
      </w:tc>
      <w:tc>
        <w:tcPr>
          <w:tcW w:w="1430" w:type="dxa"/>
        </w:tcPr>
        <w:p w14:paraId="7E3BF548" w14:textId="3DC0199F" w:rsidR="00CA5BEC" w:rsidRDefault="00CA5BEC" w:rsidP="00D440AD">
          <w:pPr>
            <w:pStyle w:val="Fuzeile"/>
            <w:tabs>
              <w:tab w:val="clear" w:pos="4536"/>
              <w:tab w:val="clear" w:pos="9072"/>
              <w:tab w:val="right" w:pos="8504"/>
            </w:tabs>
            <w:jc w:val="center"/>
            <w:rPr>
              <w:sz w:val="17"/>
            </w:rPr>
          </w:pPr>
        </w:p>
      </w:tc>
      <w:tc>
        <w:tcPr>
          <w:tcW w:w="2640" w:type="dxa"/>
        </w:tcPr>
        <w:p w14:paraId="5D3DBFBE" w14:textId="12173E2C" w:rsidR="00CA5BEC" w:rsidRDefault="00CA5BEC" w:rsidP="00D440AD">
          <w:pPr>
            <w:pStyle w:val="Fuzeile"/>
            <w:tabs>
              <w:tab w:val="clear" w:pos="4536"/>
              <w:tab w:val="clear" w:pos="9072"/>
              <w:tab w:val="right" w:pos="8504"/>
            </w:tabs>
            <w:jc w:val="center"/>
            <w:rPr>
              <w:sz w:val="17"/>
              <w:lang w:val="de-DE"/>
            </w:rPr>
          </w:pPr>
        </w:p>
      </w:tc>
    </w:tr>
  </w:tbl>
  <w:p w14:paraId="6B7E070E" w14:textId="77777777" w:rsidR="00CA5BEC" w:rsidRDefault="00CA5BE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CA5BEC" w14:paraId="526CB9AF" w14:textId="77777777">
      <w:trPr>
        <w:trHeight w:val="284"/>
      </w:trPr>
      <w:tc>
        <w:tcPr>
          <w:tcW w:w="5063" w:type="dxa"/>
        </w:tcPr>
        <w:p w14:paraId="4DFE83E2" w14:textId="44742000" w:rsidR="00CA5BEC" w:rsidRDefault="00CA5BEC" w:rsidP="00CE32BE">
          <w:pPr>
            <w:pStyle w:val="Fuzeile"/>
            <w:tabs>
              <w:tab w:val="clear" w:pos="4536"/>
              <w:tab w:val="clear" w:pos="9072"/>
              <w:tab w:val="right" w:pos="5057"/>
            </w:tabs>
            <w:rPr>
              <w:sz w:val="17"/>
            </w:rPr>
          </w:pPr>
          <w:r>
            <w:rPr>
              <w:sz w:val="17"/>
            </w:rPr>
            <w:fldChar w:fldCharType="begin"/>
          </w:r>
          <w:r>
            <w:rPr>
              <w:sz w:val="17"/>
            </w:rPr>
            <w:instrText xml:space="preserve"> FILENAME   \* MERGEFORMAT </w:instrText>
          </w:r>
          <w:r>
            <w:rPr>
              <w:sz w:val="17"/>
            </w:rPr>
            <w:fldChar w:fldCharType="separate"/>
          </w:r>
          <w:r>
            <w:rPr>
              <w:noProof/>
              <w:sz w:val="17"/>
            </w:rPr>
            <w:t>PRA_Verrechnung.docx</w:t>
          </w:r>
          <w:r>
            <w:rPr>
              <w:sz w:val="17"/>
            </w:rPr>
            <w:fldChar w:fldCharType="end"/>
          </w:r>
        </w:p>
      </w:tc>
      <w:tc>
        <w:tcPr>
          <w:tcW w:w="1430" w:type="dxa"/>
        </w:tcPr>
        <w:p w14:paraId="38166319" w14:textId="318598AD" w:rsidR="00CA5BEC" w:rsidRDefault="00CA5BEC" w:rsidP="001A18E3">
          <w:pPr>
            <w:pStyle w:val="Fuzeile"/>
            <w:tabs>
              <w:tab w:val="clear" w:pos="4536"/>
              <w:tab w:val="clear" w:pos="9072"/>
              <w:tab w:val="right" w:pos="8504"/>
            </w:tabs>
            <w:jc w:val="center"/>
            <w:rPr>
              <w:sz w:val="17"/>
            </w:rPr>
          </w:pPr>
          <w:r>
            <w:rPr>
              <w:sz w:val="17"/>
            </w:rPr>
            <w:t>Version 1.</w:t>
          </w:r>
          <w:r w:rsidR="001253B7">
            <w:rPr>
              <w:sz w:val="17"/>
            </w:rPr>
            <w:t>1</w:t>
          </w:r>
        </w:p>
      </w:tc>
      <w:tc>
        <w:tcPr>
          <w:tcW w:w="2640" w:type="dxa"/>
        </w:tcPr>
        <w:p w14:paraId="4DE4826F" w14:textId="1C4A10C2" w:rsidR="00CA5BEC" w:rsidRDefault="00CA5BEC" w:rsidP="00973DD1">
          <w:pPr>
            <w:pStyle w:val="Fuzeile"/>
            <w:tabs>
              <w:tab w:val="clear" w:pos="4536"/>
              <w:tab w:val="clear" w:pos="9072"/>
              <w:tab w:val="right" w:pos="8504"/>
            </w:tabs>
            <w:jc w:val="center"/>
            <w:rPr>
              <w:sz w:val="17"/>
              <w:lang w:val="de-DE"/>
            </w:rPr>
          </w:pPr>
          <w:r>
            <w:rPr>
              <w:sz w:val="17"/>
              <w:lang w:val="de-DE"/>
            </w:rPr>
            <w:t xml:space="preserve">                       </w:t>
          </w:r>
          <w:proofErr w:type="spellStart"/>
          <w:r>
            <w:rPr>
              <w:sz w:val="17"/>
              <w:lang w:val="de-DE"/>
            </w:rPr>
            <w:t>VerfasserIn</w:t>
          </w:r>
          <w:proofErr w:type="spellEnd"/>
          <w:r>
            <w:rPr>
              <w:sz w:val="17"/>
              <w:lang w:val="de-DE"/>
            </w:rPr>
            <w:t>: FS WH</w:t>
          </w:r>
        </w:p>
      </w:tc>
    </w:tr>
    <w:tr w:rsidR="00CA5BEC" w14:paraId="5859E1AE" w14:textId="77777777" w:rsidTr="00A713E8">
      <w:trPr>
        <w:trHeight w:val="284"/>
      </w:trPr>
      <w:tc>
        <w:tcPr>
          <w:tcW w:w="9133" w:type="dxa"/>
          <w:gridSpan w:val="3"/>
        </w:tcPr>
        <w:p w14:paraId="651456FC" w14:textId="47EE0361" w:rsidR="00CA5BEC" w:rsidRDefault="00CA5BEC" w:rsidP="001253B7">
          <w:pPr>
            <w:pStyle w:val="Fuzeile"/>
            <w:tabs>
              <w:tab w:val="clear" w:pos="4536"/>
              <w:tab w:val="clear" w:pos="9072"/>
              <w:tab w:val="right" w:pos="8504"/>
            </w:tabs>
            <w:rPr>
              <w:sz w:val="17"/>
              <w:lang w:val="de-DE"/>
            </w:rPr>
          </w:pPr>
          <w:r>
            <w:rPr>
              <w:sz w:val="17"/>
              <w:lang w:val="de-DE"/>
            </w:rPr>
            <w:t>© Copyright Soziale Dienste. Eine Weiterverwendung ist nur mit dem Zusatz «Soziale Dienste Stadt Zürich» erlaubt.</w:t>
          </w:r>
        </w:p>
      </w:tc>
    </w:tr>
  </w:tbl>
  <w:p w14:paraId="301C54DA" w14:textId="77777777" w:rsidR="00CA5BEC" w:rsidRDefault="00CA5BE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E1013D" w14:textId="77777777" w:rsidR="00CA5BEC" w:rsidRDefault="00CA5BEC">
      <w:r>
        <w:separator/>
      </w:r>
    </w:p>
  </w:footnote>
  <w:footnote w:type="continuationSeparator" w:id="0">
    <w:p w14:paraId="5F56EF0B" w14:textId="77777777" w:rsidR="00CA5BEC" w:rsidRDefault="00CA5B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680"/>
      <w:gridCol w:w="6577"/>
      <w:gridCol w:w="2495"/>
    </w:tblGrid>
    <w:tr w:rsidR="00CA5BEC" w14:paraId="6006CB45" w14:textId="77777777">
      <w:tc>
        <w:tcPr>
          <w:tcW w:w="7257" w:type="dxa"/>
          <w:gridSpan w:val="2"/>
        </w:tcPr>
        <w:p w14:paraId="68DB79C6" w14:textId="2D7D26F2" w:rsidR="00CA5BEC" w:rsidRDefault="00CA5BEC">
          <w:pPr>
            <w:pStyle w:val="Kopfzeile"/>
            <w:tabs>
              <w:tab w:val="clear" w:pos="4536"/>
              <w:tab w:val="clear" w:pos="9072"/>
            </w:tabs>
            <w:rPr>
              <w:szCs w:val="22"/>
            </w:rPr>
          </w:pPr>
          <w:bookmarkStart w:id="3" w:name="OLE_LINK1"/>
          <w:r>
            <w:rPr>
              <w:noProof/>
              <w:szCs w:val="22"/>
              <w:lang w:eastAsia="de-CH"/>
            </w:rPr>
            <w:drawing>
              <wp:inline distT="0" distB="0" distL="0" distR="0" wp14:anchorId="2A277755" wp14:editId="4719BA7D">
                <wp:extent cx="1352550" cy="276225"/>
                <wp:effectExtent l="0" t="0" r="0" b="0"/>
                <wp:docPr id="2" name="Bild 2"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p w14:paraId="46DB7D04" w14:textId="77777777" w:rsidR="00CA5BEC" w:rsidRDefault="00CA5BEC">
          <w:pPr>
            <w:pStyle w:val="Kopfzeile"/>
            <w:tabs>
              <w:tab w:val="clear" w:pos="4536"/>
              <w:tab w:val="clear" w:pos="9072"/>
            </w:tabs>
            <w:rPr>
              <w:szCs w:val="22"/>
            </w:rPr>
          </w:pPr>
        </w:p>
      </w:tc>
      <w:tc>
        <w:tcPr>
          <w:tcW w:w="2495" w:type="dxa"/>
        </w:tcPr>
        <w:p w14:paraId="6D57E55B" w14:textId="77777777" w:rsidR="00CA5BEC" w:rsidRDefault="00CA5BEC">
          <w:pPr>
            <w:pStyle w:val="Kopfzeile"/>
            <w:tabs>
              <w:tab w:val="clear" w:pos="4536"/>
              <w:tab w:val="clear" w:pos="9072"/>
            </w:tabs>
            <w:rPr>
              <w:sz w:val="17"/>
              <w:szCs w:val="17"/>
            </w:rPr>
          </w:pPr>
        </w:p>
      </w:tc>
    </w:tr>
    <w:tr w:rsidR="00CA5BEC" w14:paraId="05DD8A79" w14:textId="77777777">
      <w:trPr>
        <w:trHeight w:val="210"/>
      </w:trPr>
      <w:tc>
        <w:tcPr>
          <w:tcW w:w="680" w:type="dxa"/>
        </w:tcPr>
        <w:p w14:paraId="7FB0EF9A" w14:textId="77777777" w:rsidR="00CA5BEC" w:rsidRDefault="00CA5BEC">
          <w:pPr>
            <w:pStyle w:val="Kopfzeile"/>
          </w:pPr>
        </w:p>
      </w:tc>
      <w:tc>
        <w:tcPr>
          <w:tcW w:w="9072" w:type="dxa"/>
          <w:gridSpan w:val="2"/>
        </w:tcPr>
        <w:p w14:paraId="41E4E978" w14:textId="7ED05F4D" w:rsidR="00CA5BEC" w:rsidRDefault="00CA5BEC">
          <w:pPr>
            <w:pStyle w:val="Kopfzeile"/>
          </w:pPr>
          <w:r>
            <w:fldChar w:fldCharType="begin"/>
          </w:r>
          <w:r>
            <w:instrText xml:space="preserve"> PAGE   \* MERGEFORMAT </w:instrText>
          </w:r>
          <w:r>
            <w:fldChar w:fldCharType="separate"/>
          </w:r>
          <w:r w:rsidR="00582569">
            <w:rPr>
              <w:noProof/>
            </w:rPr>
            <w:t>2</w:t>
          </w:r>
          <w:r>
            <w:fldChar w:fldCharType="end"/>
          </w:r>
          <w:r>
            <w:t>/</w:t>
          </w:r>
          <w:fldSimple w:instr=" NUMPAGES   \* MERGEFORMAT ">
            <w:r w:rsidR="00582569">
              <w:rPr>
                <w:noProof/>
              </w:rPr>
              <w:t>2</w:t>
            </w:r>
          </w:fldSimple>
        </w:p>
      </w:tc>
    </w:tr>
    <w:bookmarkEnd w:id="3"/>
  </w:tbl>
  <w:p w14:paraId="1F15EA53" w14:textId="77777777" w:rsidR="00CA5BEC" w:rsidRDefault="00CA5BEC">
    <w:pPr>
      <w:pStyle w:val="Kopfzeile"/>
      <w:tabs>
        <w:tab w:val="clear" w:pos="4536"/>
        <w:tab w:val="clear" w:pos="9072"/>
      </w:tabs>
      <w:rPr>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7257"/>
      <w:gridCol w:w="2495"/>
    </w:tblGrid>
    <w:tr w:rsidR="00CA5BEC" w14:paraId="5B98B62E" w14:textId="77777777">
      <w:tc>
        <w:tcPr>
          <w:tcW w:w="7257" w:type="dxa"/>
        </w:tcPr>
        <w:p w14:paraId="52B6F2B0" w14:textId="064671CE" w:rsidR="00CA5BEC" w:rsidRDefault="00CA5BEC">
          <w:pPr>
            <w:pStyle w:val="Kopfzeile"/>
            <w:tabs>
              <w:tab w:val="clear" w:pos="4536"/>
              <w:tab w:val="clear" w:pos="9072"/>
            </w:tabs>
            <w:rPr>
              <w:szCs w:val="22"/>
            </w:rPr>
          </w:pPr>
          <w:r>
            <w:rPr>
              <w:noProof/>
              <w:szCs w:val="22"/>
              <w:lang w:eastAsia="de-CH"/>
            </w:rPr>
            <w:drawing>
              <wp:inline distT="0" distB="0" distL="0" distR="0" wp14:anchorId="4114399B" wp14:editId="3FF2D43D">
                <wp:extent cx="1352550" cy="276225"/>
                <wp:effectExtent l="0" t="0" r="0" b="0"/>
                <wp:docPr id="1" name="Bild 1"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tc>
      <w:tc>
        <w:tcPr>
          <w:tcW w:w="2495" w:type="dxa"/>
        </w:tcPr>
        <w:p w14:paraId="4F89268C" w14:textId="77777777" w:rsidR="00CA5BEC" w:rsidRDefault="00CA5BEC">
          <w:pPr>
            <w:pStyle w:val="Kopfzeile"/>
            <w:tabs>
              <w:tab w:val="clear" w:pos="4536"/>
              <w:tab w:val="clear" w:pos="9072"/>
            </w:tabs>
            <w:rPr>
              <w:sz w:val="17"/>
              <w:szCs w:val="17"/>
            </w:rPr>
          </w:pPr>
        </w:p>
      </w:tc>
    </w:tr>
    <w:tr w:rsidR="00CA5BEC" w14:paraId="364EB5D1" w14:textId="77777777">
      <w:tc>
        <w:tcPr>
          <w:tcW w:w="7257" w:type="dxa"/>
        </w:tcPr>
        <w:p w14:paraId="0C91DD14" w14:textId="77777777" w:rsidR="00CA5BEC" w:rsidRDefault="00CA5BEC">
          <w:pPr>
            <w:pStyle w:val="Kopfzeile"/>
            <w:tabs>
              <w:tab w:val="clear" w:pos="4536"/>
              <w:tab w:val="clear" w:pos="9072"/>
            </w:tabs>
            <w:rPr>
              <w:szCs w:val="22"/>
            </w:rPr>
          </w:pPr>
        </w:p>
      </w:tc>
      <w:tc>
        <w:tcPr>
          <w:tcW w:w="2495" w:type="dxa"/>
        </w:tcPr>
        <w:p w14:paraId="52DAFDFD" w14:textId="77777777" w:rsidR="00CA5BEC" w:rsidRDefault="00CA5BEC">
          <w:pPr>
            <w:pStyle w:val="Kopfzeile"/>
            <w:tabs>
              <w:tab w:val="clear" w:pos="4536"/>
              <w:tab w:val="clear" w:pos="9072"/>
            </w:tabs>
            <w:rPr>
              <w:noProof/>
              <w:sz w:val="17"/>
              <w:szCs w:val="17"/>
              <w:lang w:val="de-DE"/>
            </w:rPr>
          </w:pPr>
        </w:p>
      </w:tc>
    </w:tr>
  </w:tbl>
  <w:p w14:paraId="04A1E3C7" w14:textId="77777777" w:rsidR="00CA5BEC" w:rsidRDefault="00CA5BEC">
    <w:pPr>
      <w:pStyle w:val="Kopfzeile"/>
      <w:tabs>
        <w:tab w:val="clear" w:pos="4536"/>
        <w:tab w:val="clear" w:pos="9072"/>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458CC"/>
    <w:multiLevelType w:val="multilevel"/>
    <w:tmpl w:val="9EF8FC2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4B83931"/>
    <w:multiLevelType w:val="hybridMultilevel"/>
    <w:tmpl w:val="5BE24CBA"/>
    <w:lvl w:ilvl="0" w:tplc="04070001">
      <w:start w:val="1"/>
      <w:numFmt w:val="bullet"/>
      <w:lvlText w:val=""/>
      <w:lvlJc w:val="left"/>
      <w:pPr>
        <w:tabs>
          <w:tab w:val="num" w:pos="360"/>
        </w:tabs>
        <w:ind w:left="360" w:hanging="360"/>
      </w:pPr>
      <w:rPr>
        <w:rFonts w:ascii="Symbol" w:hAnsi="Symbol" w:hint="default"/>
      </w:rPr>
    </w:lvl>
    <w:lvl w:ilvl="1" w:tplc="0407000F">
      <w:start w:val="1"/>
      <w:numFmt w:val="decimal"/>
      <w:lvlText w:val="%2."/>
      <w:lvlJc w:val="left"/>
      <w:pPr>
        <w:tabs>
          <w:tab w:val="num" w:pos="1080"/>
        </w:tabs>
        <w:ind w:left="1080" w:hanging="360"/>
      </w:p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9344A1E"/>
    <w:multiLevelType w:val="hybridMultilevel"/>
    <w:tmpl w:val="5B9018E0"/>
    <w:lvl w:ilvl="0" w:tplc="08070005">
      <w:start w:val="1"/>
      <w:numFmt w:val="bullet"/>
      <w:lvlText w:val=""/>
      <w:lvlJc w:val="left"/>
      <w:pPr>
        <w:tabs>
          <w:tab w:val="num" w:pos="1077"/>
        </w:tabs>
        <w:ind w:left="1077"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483C04"/>
    <w:multiLevelType w:val="hybridMultilevel"/>
    <w:tmpl w:val="290E8C5A"/>
    <w:lvl w:ilvl="0" w:tplc="0807000F">
      <w:start w:val="1"/>
      <w:numFmt w:val="decimal"/>
      <w:lvlText w:val="%1."/>
      <w:lvlJc w:val="left"/>
      <w:pPr>
        <w:tabs>
          <w:tab w:val="num" w:pos="360"/>
        </w:tabs>
        <w:ind w:left="360" w:hanging="360"/>
      </w:pPr>
      <w:rPr>
        <w:rFonts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C2216EC"/>
    <w:multiLevelType w:val="multilevel"/>
    <w:tmpl w:val="7706B98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5" w15:restartNumberingAfterBreak="0">
    <w:nsid w:val="124047C5"/>
    <w:multiLevelType w:val="hybridMultilevel"/>
    <w:tmpl w:val="24A4021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5C52B7"/>
    <w:multiLevelType w:val="hybridMultilevel"/>
    <w:tmpl w:val="A6047EA6"/>
    <w:lvl w:ilvl="0" w:tplc="04070019">
      <w:start w:val="1"/>
      <w:numFmt w:val="lowerLetter"/>
      <w:lvlText w:val="%1."/>
      <w:lvlJc w:val="left"/>
      <w:pPr>
        <w:tabs>
          <w:tab w:val="num" w:pos="720"/>
        </w:tabs>
        <w:ind w:left="720" w:hanging="360"/>
      </w:p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4825AF"/>
    <w:multiLevelType w:val="hybridMultilevel"/>
    <w:tmpl w:val="D22A0A72"/>
    <w:lvl w:ilvl="0" w:tplc="0807000F">
      <w:start w:val="1"/>
      <w:numFmt w:val="decimal"/>
      <w:lvlText w:val="%1."/>
      <w:lvlJc w:val="left"/>
      <w:pPr>
        <w:tabs>
          <w:tab w:val="num" w:pos="470"/>
        </w:tabs>
        <w:ind w:left="47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17D32609"/>
    <w:multiLevelType w:val="hybridMultilevel"/>
    <w:tmpl w:val="D4FA3286"/>
    <w:lvl w:ilvl="0" w:tplc="04070007">
      <w:start w:val="1"/>
      <w:numFmt w:val="bullet"/>
      <w:lvlText w:val="-"/>
      <w:lvlJc w:val="left"/>
      <w:pPr>
        <w:tabs>
          <w:tab w:val="num" w:pos="360"/>
        </w:tabs>
        <w:ind w:left="360" w:hanging="360"/>
      </w:pPr>
      <w:rPr>
        <w:sz w:val="16"/>
      </w:rPr>
    </w:lvl>
    <w:lvl w:ilvl="1" w:tplc="04070003">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0632C0B"/>
    <w:multiLevelType w:val="hybridMultilevel"/>
    <w:tmpl w:val="D45C53BE"/>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D095C26"/>
    <w:multiLevelType w:val="hybridMultilevel"/>
    <w:tmpl w:val="D0B08D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7B31D6A"/>
    <w:multiLevelType w:val="hybridMultilevel"/>
    <w:tmpl w:val="4E2C71E2"/>
    <w:lvl w:ilvl="0" w:tplc="08070001">
      <w:start w:val="1"/>
      <w:numFmt w:val="bullet"/>
      <w:lvlText w:val=""/>
      <w:lvlJc w:val="left"/>
      <w:pPr>
        <w:tabs>
          <w:tab w:val="num" w:pos="360"/>
        </w:tabs>
        <w:ind w:left="360" w:hanging="360"/>
      </w:pPr>
      <w:rPr>
        <w:rFonts w:ascii="Symbol" w:hAnsi="Symbol" w:hint="default"/>
      </w:r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12" w15:restartNumberingAfterBreak="0">
    <w:nsid w:val="3A7442CC"/>
    <w:multiLevelType w:val="hybridMultilevel"/>
    <w:tmpl w:val="9ECA158A"/>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C95FD6"/>
    <w:multiLevelType w:val="multilevel"/>
    <w:tmpl w:val="4E2C71E2"/>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16A4BDE"/>
    <w:multiLevelType w:val="hybridMultilevel"/>
    <w:tmpl w:val="9B2ECACC"/>
    <w:lvl w:ilvl="0" w:tplc="4B4E4CEC">
      <w:start w:val="1"/>
      <w:numFmt w:val="bullet"/>
      <w:lvlText w:val="-"/>
      <w:lvlJc w:val="left"/>
      <w:pPr>
        <w:tabs>
          <w:tab w:val="num" w:pos="1077"/>
        </w:tabs>
        <w:ind w:left="1077" w:hanging="360"/>
      </w:pPr>
      <w:rPr>
        <w:rFonts w:ascii="Sylfaen" w:hAnsi="Sylfaen"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544907"/>
    <w:multiLevelType w:val="hybridMultilevel"/>
    <w:tmpl w:val="9EF8FC2E"/>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991032D"/>
    <w:multiLevelType w:val="hybridMultilevel"/>
    <w:tmpl w:val="E58021A4"/>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BE8530B"/>
    <w:multiLevelType w:val="hybridMultilevel"/>
    <w:tmpl w:val="CA2A53D0"/>
    <w:lvl w:ilvl="0" w:tplc="0807000F">
      <w:start w:val="1"/>
      <w:numFmt w:val="decimal"/>
      <w:lvlText w:val="%1."/>
      <w:lvlJc w:val="left"/>
      <w:pPr>
        <w:tabs>
          <w:tab w:val="num" w:pos="360"/>
        </w:tabs>
        <w:ind w:left="360" w:hanging="360"/>
      </w:pPr>
      <w:rPr>
        <w:rFonts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CD12F7F"/>
    <w:multiLevelType w:val="hybridMultilevel"/>
    <w:tmpl w:val="B56EEDC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5139F4"/>
    <w:multiLevelType w:val="multilevel"/>
    <w:tmpl w:val="40849842"/>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52AB2A58"/>
    <w:multiLevelType w:val="hybridMultilevel"/>
    <w:tmpl w:val="40849842"/>
    <w:lvl w:ilvl="0" w:tplc="08070001">
      <w:start w:val="1"/>
      <w:numFmt w:val="bullet"/>
      <w:lvlText w:val=""/>
      <w:lvlJc w:val="left"/>
      <w:pPr>
        <w:tabs>
          <w:tab w:val="num" w:pos="360"/>
        </w:tabs>
        <w:ind w:left="360" w:hanging="360"/>
      </w:pPr>
      <w:rPr>
        <w:rFonts w:ascii="Symbol" w:hAnsi="Symbol"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15:restartNumberingAfterBreak="0">
    <w:nsid w:val="54354F73"/>
    <w:multiLevelType w:val="hybridMultilevel"/>
    <w:tmpl w:val="6C1603DA"/>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8587093"/>
    <w:multiLevelType w:val="hybridMultilevel"/>
    <w:tmpl w:val="4D066F3C"/>
    <w:lvl w:ilvl="0" w:tplc="04070001">
      <w:start w:val="1"/>
      <w:numFmt w:val="bullet"/>
      <w:lvlText w:val=""/>
      <w:lvlJc w:val="left"/>
      <w:pPr>
        <w:tabs>
          <w:tab w:val="num" w:pos="360"/>
        </w:tabs>
        <w:ind w:left="360" w:hanging="360"/>
      </w:pPr>
      <w:rPr>
        <w:rFonts w:ascii="Symbol" w:hAnsi="Symbol" w:hint="default"/>
      </w:rPr>
    </w:lvl>
    <w:lvl w:ilvl="1" w:tplc="0407000F">
      <w:start w:val="1"/>
      <w:numFmt w:val="decimal"/>
      <w:lvlText w:val="%2."/>
      <w:lvlJc w:val="left"/>
      <w:pPr>
        <w:tabs>
          <w:tab w:val="num" w:pos="1080"/>
        </w:tabs>
        <w:ind w:left="1080" w:hanging="360"/>
      </w:p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C1E4128"/>
    <w:multiLevelType w:val="hybridMultilevel"/>
    <w:tmpl w:val="D408EEBA"/>
    <w:lvl w:ilvl="0" w:tplc="0407000F">
      <w:start w:val="1"/>
      <w:numFmt w:val="decimal"/>
      <w:lvlText w:val="%1."/>
      <w:lvlJc w:val="left"/>
      <w:pPr>
        <w:tabs>
          <w:tab w:val="num" w:pos="360"/>
        </w:tabs>
        <w:ind w:left="360" w:hanging="360"/>
      </w:pPr>
    </w:lvl>
    <w:lvl w:ilvl="1" w:tplc="0407000F">
      <w:start w:val="1"/>
      <w:numFmt w:val="decimal"/>
      <w:lvlText w:val="%2."/>
      <w:lvlJc w:val="left"/>
      <w:pPr>
        <w:tabs>
          <w:tab w:val="num" w:pos="1080"/>
        </w:tabs>
        <w:ind w:left="1080" w:hanging="360"/>
      </w:p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C492DF3"/>
    <w:multiLevelType w:val="hybridMultilevel"/>
    <w:tmpl w:val="F6A83276"/>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CA86176"/>
    <w:multiLevelType w:val="hybridMultilevel"/>
    <w:tmpl w:val="48848842"/>
    <w:lvl w:ilvl="0" w:tplc="0807000F">
      <w:start w:val="1"/>
      <w:numFmt w:val="decimal"/>
      <w:lvlText w:val="%1."/>
      <w:lvlJc w:val="left"/>
      <w:pPr>
        <w:tabs>
          <w:tab w:val="num" w:pos="360"/>
        </w:tabs>
        <w:ind w:left="360" w:hanging="360"/>
      </w:p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26" w15:restartNumberingAfterBreak="0">
    <w:nsid w:val="6D907515"/>
    <w:multiLevelType w:val="hybridMultilevel"/>
    <w:tmpl w:val="15EEA7A2"/>
    <w:lvl w:ilvl="0" w:tplc="0807000F">
      <w:start w:val="1"/>
      <w:numFmt w:val="decimal"/>
      <w:lvlText w:val="%1."/>
      <w:lvlJc w:val="left"/>
      <w:pPr>
        <w:tabs>
          <w:tab w:val="num" w:pos="360"/>
        </w:tabs>
        <w:ind w:left="360" w:hanging="360"/>
      </w:p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27" w15:restartNumberingAfterBreak="0">
    <w:nsid w:val="737341DD"/>
    <w:multiLevelType w:val="multilevel"/>
    <w:tmpl w:val="9B2ECACC"/>
    <w:lvl w:ilvl="0">
      <w:start w:val="1"/>
      <w:numFmt w:val="bullet"/>
      <w:lvlText w:val="-"/>
      <w:lvlJc w:val="left"/>
      <w:pPr>
        <w:tabs>
          <w:tab w:val="num" w:pos="1077"/>
        </w:tabs>
        <w:ind w:left="1077" w:hanging="360"/>
      </w:pPr>
      <w:rPr>
        <w:rFonts w:ascii="Sylfaen" w:hAnsi="Sylfae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4DB3696"/>
    <w:multiLevelType w:val="multilevel"/>
    <w:tmpl w:val="9ECA158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4F07D1C"/>
    <w:multiLevelType w:val="multilevel"/>
    <w:tmpl w:val="9ECA158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70627E"/>
    <w:multiLevelType w:val="hybridMultilevel"/>
    <w:tmpl w:val="9488A150"/>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81D53D1"/>
    <w:multiLevelType w:val="hybridMultilevel"/>
    <w:tmpl w:val="9AAC2A4C"/>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2" w15:restartNumberingAfterBreak="0">
    <w:nsid w:val="7A4627C1"/>
    <w:multiLevelType w:val="hybridMultilevel"/>
    <w:tmpl w:val="995AB7A0"/>
    <w:lvl w:ilvl="0" w:tplc="4B4E4CEC">
      <w:start w:val="1"/>
      <w:numFmt w:val="bullet"/>
      <w:lvlText w:val="-"/>
      <w:lvlJc w:val="left"/>
      <w:pPr>
        <w:tabs>
          <w:tab w:val="num" w:pos="1077"/>
        </w:tabs>
        <w:ind w:left="1077" w:hanging="360"/>
      </w:pPr>
      <w:rPr>
        <w:rFonts w:ascii="Sylfaen" w:hAnsi="Sylfaen"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B969E4"/>
    <w:multiLevelType w:val="hybridMultilevel"/>
    <w:tmpl w:val="4D066F3C"/>
    <w:lvl w:ilvl="0" w:tplc="0407000F">
      <w:start w:val="1"/>
      <w:numFmt w:val="decimal"/>
      <w:lvlText w:val="%1."/>
      <w:lvlJc w:val="left"/>
      <w:pPr>
        <w:tabs>
          <w:tab w:val="num" w:pos="360"/>
        </w:tabs>
        <w:ind w:left="360" w:hanging="360"/>
      </w:pPr>
    </w:lvl>
    <w:lvl w:ilvl="1" w:tplc="0407000F">
      <w:start w:val="1"/>
      <w:numFmt w:val="decimal"/>
      <w:lvlText w:val="%2."/>
      <w:lvlJc w:val="left"/>
      <w:pPr>
        <w:tabs>
          <w:tab w:val="num" w:pos="1080"/>
        </w:tabs>
        <w:ind w:left="1080" w:hanging="360"/>
      </w:p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AFE32FC"/>
    <w:multiLevelType w:val="hybridMultilevel"/>
    <w:tmpl w:val="6F6E6E2E"/>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BDE3817"/>
    <w:multiLevelType w:val="hybridMultilevel"/>
    <w:tmpl w:val="F7400C14"/>
    <w:lvl w:ilvl="0" w:tplc="4B4E4CEC">
      <w:start w:val="1"/>
      <w:numFmt w:val="bullet"/>
      <w:lvlText w:val="-"/>
      <w:lvlJc w:val="left"/>
      <w:pPr>
        <w:tabs>
          <w:tab w:val="num" w:pos="6341"/>
        </w:tabs>
        <w:ind w:left="6341" w:hanging="360"/>
      </w:pPr>
      <w:rPr>
        <w:rFonts w:ascii="Sylfaen" w:hAnsi="Sylfaen" w:hint="default"/>
      </w:rPr>
    </w:lvl>
    <w:lvl w:ilvl="1" w:tplc="08070003">
      <w:start w:val="1"/>
      <w:numFmt w:val="bullet"/>
      <w:lvlText w:val="o"/>
      <w:lvlJc w:val="left"/>
      <w:pPr>
        <w:tabs>
          <w:tab w:val="num" w:pos="6704"/>
        </w:tabs>
        <w:ind w:left="6704" w:hanging="360"/>
      </w:pPr>
      <w:rPr>
        <w:rFonts w:ascii="Courier New" w:hAnsi="Courier New" w:cs="Courier New" w:hint="default"/>
      </w:rPr>
    </w:lvl>
    <w:lvl w:ilvl="2" w:tplc="08070005" w:tentative="1">
      <w:start w:val="1"/>
      <w:numFmt w:val="bullet"/>
      <w:lvlText w:val=""/>
      <w:lvlJc w:val="left"/>
      <w:pPr>
        <w:tabs>
          <w:tab w:val="num" w:pos="7424"/>
        </w:tabs>
        <w:ind w:left="7424" w:hanging="360"/>
      </w:pPr>
      <w:rPr>
        <w:rFonts w:ascii="Wingdings" w:hAnsi="Wingdings" w:hint="default"/>
      </w:rPr>
    </w:lvl>
    <w:lvl w:ilvl="3" w:tplc="08070001" w:tentative="1">
      <w:start w:val="1"/>
      <w:numFmt w:val="bullet"/>
      <w:lvlText w:val=""/>
      <w:lvlJc w:val="left"/>
      <w:pPr>
        <w:tabs>
          <w:tab w:val="num" w:pos="8144"/>
        </w:tabs>
        <w:ind w:left="8144" w:hanging="360"/>
      </w:pPr>
      <w:rPr>
        <w:rFonts w:ascii="Symbol" w:hAnsi="Symbol" w:hint="default"/>
      </w:rPr>
    </w:lvl>
    <w:lvl w:ilvl="4" w:tplc="08070003" w:tentative="1">
      <w:start w:val="1"/>
      <w:numFmt w:val="bullet"/>
      <w:lvlText w:val="o"/>
      <w:lvlJc w:val="left"/>
      <w:pPr>
        <w:tabs>
          <w:tab w:val="num" w:pos="8864"/>
        </w:tabs>
        <w:ind w:left="8864" w:hanging="360"/>
      </w:pPr>
      <w:rPr>
        <w:rFonts w:ascii="Courier New" w:hAnsi="Courier New" w:cs="Courier New" w:hint="default"/>
      </w:rPr>
    </w:lvl>
    <w:lvl w:ilvl="5" w:tplc="08070005" w:tentative="1">
      <w:start w:val="1"/>
      <w:numFmt w:val="bullet"/>
      <w:lvlText w:val=""/>
      <w:lvlJc w:val="left"/>
      <w:pPr>
        <w:tabs>
          <w:tab w:val="num" w:pos="9584"/>
        </w:tabs>
        <w:ind w:left="9584" w:hanging="360"/>
      </w:pPr>
      <w:rPr>
        <w:rFonts w:ascii="Wingdings" w:hAnsi="Wingdings" w:hint="default"/>
      </w:rPr>
    </w:lvl>
    <w:lvl w:ilvl="6" w:tplc="08070001" w:tentative="1">
      <w:start w:val="1"/>
      <w:numFmt w:val="bullet"/>
      <w:lvlText w:val=""/>
      <w:lvlJc w:val="left"/>
      <w:pPr>
        <w:tabs>
          <w:tab w:val="num" w:pos="10304"/>
        </w:tabs>
        <w:ind w:left="10304" w:hanging="360"/>
      </w:pPr>
      <w:rPr>
        <w:rFonts w:ascii="Symbol" w:hAnsi="Symbol" w:hint="default"/>
      </w:rPr>
    </w:lvl>
    <w:lvl w:ilvl="7" w:tplc="08070003" w:tentative="1">
      <w:start w:val="1"/>
      <w:numFmt w:val="bullet"/>
      <w:lvlText w:val="o"/>
      <w:lvlJc w:val="left"/>
      <w:pPr>
        <w:tabs>
          <w:tab w:val="num" w:pos="11024"/>
        </w:tabs>
        <w:ind w:left="11024" w:hanging="360"/>
      </w:pPr>
      <w:rPr>
        <w:rFonts w:ascii="Courier New" w:hAnsi="Courier New" w:cs="Courier New" w:hint="default"/>
      </w:rPr>
    </w:lvl>
    <w:lvl w:ilvl="8" w:tplc="08070005" w:tentative="1">
      <w:start w:val="1"/>
      <w:numFmt w:val="bullet"/>
      <w:lvlText w:val=""/>
      <w:lvlJc w:val="left"/>
      <w:pPr>
        <w:tabs>
          <w:tab w:val="num" w:pos="11744"/>
        </w:tabs>
        <w:ind w:left="11744" w:hanging="360"/>
      </w:pPr>
      <w:rPr>
        <w:rFonts w:ascii="Wingdings" w:hAnsi="Wingdings" w:hint="default"/>
      </w:rPr>
    </w:lvl>
  </w:abstractNum>
  <w:abstractNum w:abstractNumId="36" w15:restartNumberingAfterBreak="0">
    <w:nsid w:val="7E252DEE"/>
    <w:multiLevelType w:val="hybridMultilevel"/>
    <w:tmpl w:val="6FF6C3FA"/>
    <w:lvl w:ilvl="0" w:tplc="0807000F">
      <w:start w:val="1"/>
      <w:numFmt w:val="decimal"/>
      <w:lvlText w:val="%1."/>
      <w:lvlJc w:val="left"/>
      <w:pPr>
        <w:tabs>
          <w:tab w:val="num" w:pos="360"/>
        </w:tabs>
        <w:ind w:left="360" w:hanging="360"/>
      </w:p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num w:numId="1">
    <w:abstractNumId w:val="4"/>
  </w:num>
  <w:num w:numId="2">
    <w:abstractNumId w:val="8"/>
  </w:num>
  <w:num w:numId="3">
    <w:abstractNumId w:val="5"/>
  </w:num>
  <w:num w:numId="4">
    <w:abstractNumId w:val="18"/>
  </w:num>
  <w:num w:numId="5">
    <w:abstractNumId w:val="31"/>
  </w:num>
  <w:num w:numId="6">
    <w:abstractNumId w:val="6"/>
  </w:num>
  <w:num w:numId="7">
    <w:abstractNumId w:val="4"/>
  </w:num>
  <w:num w:numId="8">
    <w:abstractNumId w:val="4"/>
  </w:num>
  <w:num w:numId="9">
    <w:abstractNumId w:val="4"/>
  </w:num>
  <w:num w:numId="10">
    <w:abstractNumId w:val="23"/>
  </w:num>
  <w:num w:numId="11">
    <w:abstractNumId w:val="1"/>
  </w:num>
  <w:num w:numId="12">
    <w:abstractNumId w:val="24"/>
  </w:num>
  <w:num w:numId="13">
    <w:abstractNumId w:val="9"/>
  </w:num>
  <w:num w:numId="14">
    <w:abstractNumId w:val="33"/>
  </w:num>
  <w:num w:numId="15">
    <w:abstractNumId w:val="22"/>
  </w:num>
  <w:num w:numId="16">
    <w:abstractNumId w:val="30"/>
  </w:num>
  <w:num w:numId="17">
    <w:abstractNumId w:val="34"/>
  </w:num>
  <w:num w:numId="18">
    <w:abstractNumId w:val="35"/>
  </w:num>
  <w:num w:numId="19">
    <w:abstractNumId w:val="3"/>
  </w:num>
  <w:num w:numId="20">
    <w:abstractNumId w:val="7"/>
  </w:num>
  <w:num w:numId="21">
    <w:abstractNumId w:val="26"/>
  </w:num>
  <w:num w:numId="22">
    <w:abstractNumId w:val="32"/>
  </w:num>
  <w:num w:numId="23">
    <w:abstractNumId w:val="16"/>
  </w:num>
  <w:num w:numId="24">
    <w:abstractNumId w:val="21"/>
  </w:num>
  <w:num w:numId="25">
    <w:abstractNumId w:val="15"/>
  </w:num>
  <w:num w:numId="26">
    <w:abstractNumId w:val="20"/>
  </w:num>
  <w:num w:numId="27">
    <w:abstractNumId w:val="11"/>
  </w:num>
  <w:num w:numId="28">
    <w:abstractNumId w:val="14"/>
  </w:num>
  <w:num w:numId="29">
    <w:abstractNumId w:val="27"/>
  </w:num>
  <w:num w:numId="30">
    <w:abstractNumId w:val="2"/>
  </w:num>
  <w:num w:numId="31">
    <w:abstractNumId w:val="0"/>
  </w:num>
  <w:num w:numId="32">
    <w:abstractNumId w:val="17"/>
  </w:num>
  <w:num w:numId="33">
    <w:abstractNumId w:val="19"/>
  </w:num>
  <w:num w:numId="34">
    <w:abstractNumId w:val="36"/>
  </w:num>
  <w:num w:numId="35">
    <w:abstractNumId w:val="13"/>
  </w:num>
  <w:num w:numId="36">
    <w:abstractNumId w:val="25"/>
  </w:num>
  <w:num w:numId="37">
    <w:abstractNumId w:val="12"/>
  </w:num>
  <w:num w:numId="38">
    <w:abstractNumId w:val="29"/>
  </w:num>
  <w:num w:numId="39">
    <w:abstractNumId w:val="28"/>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08"/>
  <w:autoHyphenation/>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aFArt" w:val="NeutralA4PI"/>
    <w:docVar w:name="dvaFGroup" w:val="Ntl01"/>
    <w:docVar w:name="dvaFileNameAct" w:val="0"/>
    <w:docVar w:name="dvaFileNameVis" w:val="1"/>
    <w:docVar w:name="dvaFL" w:val="DE"/>
    <w:docVar w:name="dvaFootAct" w:val="0"/>
    <w:docVar w:name="dvaFoPaAct" w:val="0"/>
    <w:docVar w:name="dvaHeadExtInt" w:val="Ext"/>
    <w:docVar w:name="dvaInitRule_L" w:val="SigL"/>
    <w:docVar w:name="dvaInitRule_R" w:val="CoPers"/>
    <w:docVar w:name="dvaLogo" w:val="BW"/>
    <w:docVar w:name="dvaLogoFP" w:val="BW"/>
    <w:docVar w:name="dvaSaveInfoMode" w:val="10"/>
    <w:docVar w:name="dvaSaveMode" w:val="10"/>
    <w:docVar w:name="dvaTrayPage1" w:val="Neutral"/>
    <w:docVar w:name="dvaTrayPage1a" w:val="Neutral"/>
    <w:docVar w:name="dvaTrayPage2" w:val="Neutral"/>
  </w:docVars>
  <w:rsids>
    <w:rsidRoot w:val="00F66B23"/>
    <w:rsid w:val="00027BE3"/>
    <w:rsid w:val="000536E4"/>
    <w:rsid w:val="0005757F"/>
    <w:rsid w:val="000605D2"/>
    <w:rsid w:val="00063BF2"/>
    <w:rsid w:val="000674C1"/>
    <w:rsid w:val="00086A40"/>
    <w:rsid w:val="0009058E"/>
    <w:rsid w:val="00097E7C"/>
    <w:rsid w:val="000B1105"/>
    <w:rsid w:val="000C01BD"/>
    <w:rsid w:val="000C50EC"/>
    <w:rsid w:val="000D1EE8"/>
    <w:rsid w:val="000E32D4"/>
    <w:rsid w:val="000E469F"/>
    <w:rsid w:val="001253B7"/>
    <w:rsid w:val="00125B82"/>
    <w:rsid w:val="00137BDC"/>
    <w:rsid w:val="00143963"/>
    <w:rsid w:val="00167A2B"/>
    <w:rsid w:val="0017055F"/>
    <w:rsid w:val="00171365"/>
    <w:rsid w:val="0017241C"/>
    <w:rsid w:val="00181B49"/>
    <w:rsid w:val="001A18E3"/>
    <w:rsid w:val="001A33B8"/>
    <w:rsid w:val="001B5996"/>
    <w:rsid w:val="001C0C3A"/>
    <w:rsid w:val="002057EE"/>
    <w:rsid w:val="00214642"/>
    <w:rsid w:val="00265948"/>
    <w:rsid w:val="002671E5"/>
    <w:rsid w:val="00275C9C"/>
    <w:rsid w:val="002A131E"/>
    <w:rsid w:val="002A1549"/>
    <w:rsid w:val="002B0573"/>
    <w:rsid w:val="002B773F"/>
    <w:rsid w:val="002E5569"/>
    <w:rsid w:val="002F2B7D"/>
    <w:rsid w:val="00303886"/>
    <w:rsid w:val="00310551"/>
    <w:rsid w:val="003132B4"/>
    <w:rsid w:val="003234A5"/>
    <w:rsid w:val="00334642"/>
    <w:rsid w:val="00342755"/>
    <w:rsid w:val="00345CCC"/>
    <w:rsid w:val="0035681D"/>
    <w:rsid w:val="00380F45"/>
    <w:rsid w:val="003819CD"/>
    <w:rsid w:val="00384CC8"/>
    <w:rsid w:val="003A5D1F"/>
    <w:rsid w:val="003C2D7A"/>
    <w:rsid w:val="003D52B9"/>
    <w:rsid w:val="003E4FAB"/>
    <w:rsid w:val="003E6612"/>
    <w:rsid w:val="003E7142"/>
    <w:rsid w:val="003F1B37"/>
    <w:rsid w:val="00406493"/>
    <w:rsid w:val="00407DD0"/>
    <w:rsid w:val="004315FF"/>
    <w:rsid w:val="0045008D"/>
    <w:rsid w:val="00451DB2"/>
    <w:rsid w:val="00452BA4"/>
    <w:rsid w:val="00457AAB"/>
    <w:rsid w:val="00466B25"/>
    <w:rsid w:val="00470701"/>
    <w:rsid w:val="00481E3A"/>
    <w:rsid w:val="00483A1D"/>
    <w:rsid w:val="00486CE0"/>
    <w:rsid w:val="0049346C"/>
    <w:rsid w:val="00493D64"/>
    <w:rsid w:val="004A0282"/>
    <w:rsid w:val="004A5F4D"/>
    <w:rsid w:val="004A7C25"/>
    <w:rsid w:val="004B6AB2"/>
    <w:rsid w:val="004D6EAB"/>
    <w:rsid w:val="005363A9"/>
    <w:rsid w:val="0054334B"/>
    <w:rsid w:val="00543B36"/>
    <w:rsid w:val="00544DFB"/>
    <w:rsid w:val="00545573"/>
    <w:rsid w:val="005572EF"/>
    <w:rsid w:val="00563856"/>
    <w:rsid w:val="00570BC3"/>
    <w:rsid w:val="00582403"/>
    <w:rsid w:val="00582569"/>
    <w:rsid w:val="005A5086"/>
    <w:rsid w:val="005A75B4"/>
    <w:rsid w:val="005C08FB"/>
    <w:rsid w:val="005C1591"/>
    <w:rsid w:val="005D7BD8"/>
    <w:rsid w:val="005E67CE"/>
    <w:rsid w:val="005F5F49"/>
    <w:rsid w:val="005F68AA"/>
    <w:rsid w:val="006013AD"/>
    <w:rsid w:val="006221BF"/>
    <w:rsid w:val="00623B68"/>
    <w:rsid w:val="00627866"/>
    <w:rsid w:val="00637E69"/>
    <w:rsid w:val="006508B1"/>
    <w:rsid w:val="00661620"/>
    <w:rsid w:val="0066231F"/>
    <w:rsid w:val="00682588"/>
    <w:rsid w:val="00683DA8"/>
    <w:rsid w:val="006B114C"/>
    <w:rsid w:val="006B3D40"/>
    <w:rsid w:val="006C16B3"/>
    <w:rsid w:val="006C6A3C"/>
    <w:rsid w:val="006E352E"/>
    <w:rsid w:val="0070732F"/>
    <w:rsid w:val="00724FAE"/>
    <w:rsid w:val="00727FDB"/>
    <w:rsid w:val="0073235A"/>
    <w:rsid w:val="007469FB"/>
    <w:rsid w:val="007471CA"/>
    <w:rsid w:val="0076232B"/>
    <w:rsid w:val="00763795"/>
    <w:rsid w:val="007719EC"/>
    <w:rsid w:val="007A3759"/>
    <w:rsid w:val="007A566D"/>
    <w:rsid w:val="007B00DC"/>
    <w:rsid w:val="007D3F86"/>
    <w:rsid w:val="007E432F"/>
    <w:rsid w:val="007E67DF"/>
    <w:rsid w:val="007F1DE9"/>
    <w:rsid w:val="007F2D40"/>
    <w:rsid w:val="007F2E63"/>
    <w:rsid w:val="00811BD3"/>
    <w:rsid w:val="00813074"/>
    <w:rsid w:val="00820C9C"/>
    <w:rsid w:val="00832760"/>
    <w:rsid w:val="00836D48"/>
    <w:rsid w:val="008405E6"/>
    <w:rsid w:val="0085043C"/>
    <w:rsid w:val="008533A5"/>
    <w:rsid w:val="008675F1"/>
    <w:rsid w:val="00873DB5"/>
    <w:rsid w:val="008744FF"/>
    <w:rsid w:val="00887BC9"/>
    <w:rsid w:val="008C38F3"/>
    <w:rsid w:val="008D7BCD"/>
    <w:rsid w:val="008F20A4"/>
    <w:rsid w:val="008F6AEA"/>
    <w:rsid w:val="00934D9A"/>
    <w:rsid w:val="00937A59"/>
    <w:rsid w:val="00953080"/>
    <w:rsid w:val="00960325"/>
    <w:rsid w:val="0096073F"/>
    <w:rsid w:val="00973DD1"/>
    <w:rsid w:val="00974694"/>
    <w:rsid w:val="009749AE"/>
    <w:rsid w:val="00976512"/>
    <w:rsid w:val="009859FC"/>
    <w:rsid w:val="00990AA2"/>
    <w:rsid w:val="009A434E"/>
    <w:rsid w:val="009B08FA"/>
    <w:rsid w:val="009C34D8"/>
    <w:rsid w:val="009C3E0F"/>
    <w:rsid w:val="009D0DF0"/>
    <w:rsid w:val="009F1027"/>
    <w:rsid w:val="009F2FDF"/>
    <w:rsid w:val="00A00D11"/>
    <w:rsid w:val="00A16BE1"/>
    <w:rsid w:val="00A25731"/>
    <w:rsid w:val="00A27A13"/>
    <w:rsid w:val="00A37FFD"/>
    <w:rsid w:val="00A45274"/>
    <w:rsid w:val="00A46FE7"/>
    <w:rsid w:val="00A51658"/>
    <w:rsid w:val="00A5331F"/>
    <w:rsid w:val="00A713E8"/>
    <w:rsid w:val="00A77658"/>
    <w:rsid w:val="00A82183"/>
    <w:rsid w:val="00A9063F"/>
    <w:rsid w:val="00A94BE7"/>
    <w:rsid w:val="00A96303"/>
    <w:rsid w:val="00AC47C5"/>
    <w:rsid w:val="00AF0400"/>
    <w:rsid w:val="00B02B55"/>
    <w:rsid w:val="00B32CAC"/>
    <w:rsid w:val="00B568A3"/>
    <w:rsid w:val="00B60B1B"/>
    <w:rsid w:val="00B679E4"/>
    <w:rsid w:val="00B7726C"/>
    <w:rsid w:val="00B8727D"/>
    <w:rsid w:val="00BC00AB"/>
    <w:rsid w:val="00BC25D9"/>
    <w:rsid w:val="00BD40CA"/>
    <w:rsid w:val="00BF4C11"/>
    <w:rsid w:val="00C11635"/>
    <w:rsid w:val="00C14E46"/>
    <w:rsid w:val="00C178A7"/>
    <w:rsid w:val="00C203B7"/>
    <w:rsid w:val="00C33CC1"/>
    <w:rsid w:val="00C463F4"/>
    <w:rsid w:val="00C47641"/>
    <w:rsid w:val="00C57049"/>
    <w:rsid w:val="00C603E6"/>
    <w:rsid w:val="00C7650A"/>
    <w:rsid w:val="00C85F6E"/>
    <w:rsid w:val="00C926C5"/>
    <w:rsid w:val="00C94D19"/>
    <w:rsid w:val="00C95AC4"/>
    <w:rsid w:val="00CA5214"/>
    <w:rsid w:val="00CA5BEC"/>
    <w:rsid w:val="00CA654D"/>
    <w:rsid w:val="00CD2478"/>
    <w:rsid w:val="00CD41DE"/>
    <w:rsid w:val="00CD5A6D"/>
    <w:rsid w:val="00CE32BE"/>
    <w:rsid w:val="00CE59C5"/>
    <w:rsid w:val="00D01759"/>
    <w:rsid w:val="00D106C0"/>
    <w:rsid w:val="00D14AC3"/>
    <w:rsid w:val="00D16797"/>
    <w:rsid w:val="00D3454E"/>
    <w:rsid w:val="00D37FB1"/>
    <w:rsid w:val="00D440AD"/>
    <w:rsid w:val="00D44660"/>
    <w:rsid w:val="00D44810"/>
    <w:rsid w:val="00D45795"/>
    <w:rsid w:val="00D553AF"/>
    <w:rsid w:val="00D562F0"/>
    <w:rsid w:val="00D571C8"/>
    <w:rsid w:val="00D77EB8"/>
    <w:rsid w:val="00D966FF"/>
    <w:rsid w:val="00D96703"/>
    <w:rsid w:val="00D973E0"/>
    <w:rsid w:val="00DA22A4"/>
    <w:rsid w:val="00DA2A6E"/>
    <w:rsid w:val="00DB1157"/>
    <w:rsid w:val="00DB3BD7"/>
    <w:rsid w:val="00DD0F4C"/>
    <w:rsid w:val="00DE2AB8"/>
    <w:rsid w:val="00DE4963"/>
    <w:rsid w:val="00DE6863"/>
    <w:rsid w:val="00DF0D39"/>
    <w:rsid w:val="00DF485D"/>
    <w:rsid w:val="00DF6667"/>
    <w:rsid w:val="00E05484"/>
    <w:rsid w:val="00E31C80"/>
    <w:rsid w:val="00E46383"/>
    <w:rsid w:val="00E606E9"/>
    <w:rsid w:val="00E93CEE"/>
    <w:rsid w:val="00EC4C57"/>
    <w:rsid w:val="00ED13E0"/>
    <w:rsid w:val="00EE2A7C"/>
    <w:rsid w:val="00F01723"/>
    <w:rsid w:val="00F15441"/>
    <w:rsid w:val="00F17952"/>
    <w:rsid w:val="00F31122"/>
    <w:rsid w:val="00F371F0"/>
    <w:rsid w:val="00F43645"/>
    <w:rsid w:val="00F4706F"/>
    <w:rsid w:val="00F473B2"/>
    <w:rsid w:val="00F475A5"/>
    <w:rsid w:val="00F66B23"/>
    <w:rsid w:val="00F7478F"/>
    <w:rsid w:val="00F84DFB"/>
    <w:rsid w:val="00F95AF5"/>
    <w:rsid w:val="00FB6E08"/>
    <w:rsid w:val="00FD4BF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1"/>
    <o:shapelayout v:ext="edit">
      <o:idmap v:ext="edit" data="1"/>
    </o:shapelayout>
  </w:shapeDefaults>
  <w:decimalSymbol w:val="."/>
  <w:listSeparator w:val=";"/>
  <w14:docId w14:val="5C04C187"/>
  <w15:docId w15:val="{088EA74F-1803-449F-88BE-1D159F703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06493"/>
    <w:rPr>
      <w:rFonts w:ascii="Arial" w:hAnsi="Arial" w:cs="Arial"/>
      <w:sz w:val="22"/>
      <w:lang w:eastAsia="de-DE"/>
    </w:rPr>
  </w:style>
  <w:style w:type="paragraph" w:styleId="berschrift1">
    <w:name w:val="heading 1"/>
    <w:basedOn w:val="Standard"/>
    <w:next w:val="Absatz0"/>
    <w:autoRedefine/>
    <w:qFormat/>
    <w:rsid w:val="006C6A3C"/>
    <w:pPr>
      <w:numPr>
        <w:numId w:val="1"/>
      </w:numPr>
      <w:shd w:val="clear" w:color="auto" w:fill="99CCFF"/>
      <w:tabs>
        <w:tab w:val="left" w:pos="709"/>
        <w:tab w:val="left" w:pos="2090"/>
      </w:tabs>
      <w:ind w:left="431" w:hanging="431"/>
      <w:outlineLvl w:val="0"/>
    </w:pPr>
    <w:rPr>
      <w:rFonts w:cs="Times New Roman"/>
      <w:b/>
      <w:szCs w:val="24"/>
    </w:rPr>
  </w:style>
  <w:style w:type="paragraph" w:styleId="berschrift2">
    <w:name w:val="heading 2"/>
    <w:basedOn w:val="berschrift1"/>
    <w:next w:val="Absatz0"/>
    <w:qFormat/>
    <w:pPr>
      <w:numPr>
        <w:ilvl w:val="1"/>
      </w:numPr>
      <w:tabs>
        <w:tab w:val="clear" w:pos="576"/>
      </w:tabs>
      <w:ind w:left="709" w:hanging="709"/>
      <w:outlineLvl w:val="1"/>
    </w:pPr>
  </w:style>
  <w:style w:type="paragraph" w:styleId="berschrift3">
    <w:name w:val="heading 3"/>
    <w:basedOn w:val="berschrift2"/>
    <w:next w:val="Absatz0"/>
    <w:qFormat/>
    <w:pPr>
      <w:numPr>
        <w:ilvl w:val="2"/>
      </w:numPr>
      <w:tabs>
        <w:tab w:val="clear" w:pos="720"/>
        <w:tab w:val="left" w:pos="709"/>
      </w:tabs>
      <w:ind w:left="709" w:hanging="709"/>
      <w:outlineLvl w:val="2"/>
    </w:pPr>
    <w:rPr>
      <w:b w:val="0"/>
    </w:rPr>
  </w:style>
  <w:style w:type="paragraph" w:styleId="berschrift4">
    <w:name w:val="heading 4"/>
    <w:basedOn w:val="berschrift3"/>
    <w:next w:val="Absatz1"/>
    <w:qFormat/>
    <w:pPr>
      <w:numPr>
        <w:ilvl w:val="3"/>
      </w:numPr>
      <w:tabs>
        <w:tab w:val="clear" w:pos="864"/>
      </w:tabs>
      <w:ind w:left="709" w:hanging="709"/>
      <w:outlineLvl w:val="3"/>
    </w:pPr>
  </w:style>
  <w:style w:type="paragraph" w:styleId="berschrift5">
    <w:name w:val="heading 5"/>
    <w:basedOn w:val="berschrift4"/>
    <w:next w:val="Absatz1"/>
    <w:qFormat/>
    <w:pPr>
      <w:numPr>
        <w:ilvl w:val="4"/>
      </w:numPr>
      <w:tabs>
        <w:tab w:val="clear" w:pos="1008"/>
      </w:tabs>
      <w:ind w:left="709" w:hanging="709"/>
      <w:outlineLvl w:val="4"/>
    </w:pPr>
  </w:style>
  <w:style w:type="paragraph" w:styleId="berschrift6">
    <w:name w:val="heading 6"/>
    <w:basedOn w:val="berschrift5"/>
    <w:next w:val="Absatz1"/>
    <w:qFormat/>
    <w:pPr>
      <w:numPr>
        <w:ilvl w:val="5"/>
      </w:numPr>
      <w:tabs>
        <w:tab w:val="clear" w:pos="1152"/>
      </w:tabs>
      <w:ind w:left="709" w:hanging="709"/>
      <w:outlineLvl w:val="5"/>
    </w:pPr>
  </w:style>
  <w:style w:type="paragraph" w:styleId="berschrift7">
    <w:name w:val="heading 7"/>
    <w:basedOn w:val="berschrift6"/>
    <w:next w:val="Absatz1"/>
    <w:qFormat/>
    <w:pPr>
      <w:numPr>
        <w:ilvl w:val="6"/>
      </w:numPr>
      <w:tabs>
        <w:tab w:val="clear" w:pos="1296"/>
      </w:tabs>
      <w:ind w:left="709" w:hanging="709"/>
      <w:outlineLvl w:val="6"/>
    </w:pPr>
  </w:style>
  <w:style w:type="paragraph" w:styleId="berschrift8">
    <w:name w:val="heading 8"/>
    <w:basedOn w:val="berschrift7"/>
    <w:next w:val="Absatz1"/>
    <w:qFormat/>
    <w:pPr>
      <w:numPr>
        <w:ilvl w:val="7"/>
      </w:numPr>
      <w:tabs>
        <w:tab w:val="clear" w:pos="1440"/>
      </w:tabs>
      <w:ind w:left="709" w:hanging="709"/>
      <w:outlineLvl w:val="7"/>
    </w:pPr>
  </w:style>
  <w:style w:type="paragraph" w:styleId="berschrift9">
    <w:name w:val="heading 9"/>
    <w:basedOn w:val="berschrift8"/>
    <w:next w:val="Absatz1"/>
    <w:qFormat/>
    <w:pPr>
      <w:numPr>
        <w:ilvl w:val="8"/>
      </w:numPr>
      <w:tabs>
        <w:tab w:val="clear" w:pos="1584"/>
      </w:tabs>
      <w:ind w:left="709" w:hanging="709"/>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ind w:left="709"/>
    </w:pPr>
  </w:style>
  <w:style w:type="paragraph" w:styleId="Verzeichnis1">
    <w:name w:val="toc 1"/>
    <w:basedOn w:val="Standard"/>
    <w:next w:val="Standard"/>
    <w:semiHidden/>
    <w:pPr>
      <w:tabs>
        <w:tab w:val="right" w:leader="dot" w:pos="9071"/>
      </w:tabs>
      <w:spacing w:before="120" w:after="120" w:line="280" w:lineRule="atLeast"/>
      <w:ind w:left="709" w:hanging="709"/>
    </w:pPr>
    <w:rPr>
      <w:b/>
      <w:caps/>
    </w:rPr>
  </w:style>
  <w:style w:type="paragraph" w:styleId="Verzeichnis2">
    <w:name w:val="toc 2"/>
    <w:basedOn w:val="Standard"/>
    <w:next w:val="Standard"/>
    <w:semiHidden/>
    <w:pPr>
      <w:tabs>
        <w:tab w:val="right" w:leader="dot" w:pos="9071"/>
      </w:tabs>
      <w:spacing w:line="240" w:lineRule="atLeast"/>
      <w:ind w:left="709" w:hanging="709"/>
    </w:pPr>
    <w:rPr>
      <w:smallCaps/>
    </w:rPr>
  </w:style>
  <w:style w:type="paragraph" w:styleId="Verzeichnis3">
    <w:name w:val="toc 3"/>
    <w:basedOn w:val="Standard"/>
    <w:next w:val="Standard"/>
    <w:semiHidden/>
    <w:pPr>
      <w:tabs>
        <w:tab w:val="right" w:leader="dot" w:pos="9071"/>
      </w:tabs>
      <w:ind w:left="1417" w:hanging="709"/>
    </w:pPr>
    <w:rPr>
      <w:i/>
    </w:rPr>
  </w:style>
  <w:style w:type="paragraph" w:customStyle="1" w:styleId="berschrift">
    <w:name w:val="Überschrift"/>
    <w:basedOn w:val="Standard"/>
    <w:next w:val="Standard"/>
    <w:pPr>
      <w:spacing w:before="120" w:after="120"/>
    </w:pPr>
    <w:rPr>
      <w:b/>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Absatz0">
    <w:name w:val="Absatz 0"/>
    <w:basedOn w:val="Standard"/>
  </w:style>
  <w:style w:type="paragraph" w:customStyle="1" w:styleId="Absatz1">
    <w:name w:val="Absatz 1"/>
    <w:basedOn w:val="Absatz0"/>
    <w:pPr>
      <w:ind w:left="709"/>
    </w:pPr>
  </w:style>
  <w:style w:type="paragraph" w:customStyle="1" w:styleId="Absatz2">
    <w:name w:val="Absatz 2"/>
    <w:basedOn w:val="Absatz0"/>
    <w:pPr>
      <w:ind w:left="1417"/>
    </w:pPr>
  </w:style>
  <w:style w:type="paragraph" w:customStyle="1" w:styleId="Absatz3">
    <w:name w:val="Absatz 3"/>
    <w:basedOn w:val="Absatz0"/>
    <w:pPr>
      <w:ind w:left="1984"/>
    </w:pPr>
  </w:style>
  <w:style w:type="paragraph" w:customStyle="1" w:styleId="Tabellentitel">
    <w:name w:val="Tabellentitel"/>
    <w:basedOn w:val="Standard"/>
    <w:rPr>
      <w:b/>
      <w:sz w:val="17"/>
    </w:rPr>
  </w:style>
  <w:style w:type="paragraph" w:customStyle="1" w:styleId="Tabellentext">
    <w:name w:val="Tabellentext"/>
    <w:basedOn w:val="Standard"/>
    <w:rPr>
      <w:sz w:val="17"/>
    </w:rPr>
  </w:style>
  <w:style w:type="paragraph" w:customStyle="1" w:styleId="WeisungKopfteil">
    <w:name w:val="Weisung Kopfteil"/>
    <w:basedOn w:val="Standard"/>
    <w:pPr>
      <w:spacing w:before="40" w:after="60"/>
    </w:pPr>
    <w:rPr>
      <w:rFonts w:ascii="Arial (W1)" w:hAnsi="Arial (W1)"/>
      <w:b/>
      <w:sz w:val="24"/>
      <w:szCs w:val="24"/>
    </w:rPr>
  </w:style>
  <w:style w:type="character" w:styleId="Seitenzahl">
    <w:name w:val="page number"/>
    <w:basedOn w:val="Absatz-Standardschriftart"/>
  </w:style>
  <w:style w:type="character" w:styleId="Kommentarzeichen">
    <w:name w:val="annotation reference"/>
    <w:basedOn w:val="Absatz-Standardschriftart"/>
    <w:semiHidden/>
    <w:rsid w:val="00DB3BD7"/>
    <w:rPr>
      <w:sz w:val="16"/>
      <w:szCs w:val="16"/>
    </w:rPr>
  </w:style>
  <w:style w:type="paragraph" w:styleId="Kommentartext">
    <w:name w:val="annotation text"/>
    <w:basedOn w:val="Standard"/>
    <w:semiHidden/>
    <w:rsid w:val="00DB3BD7"/>
    <w:rPr>
      <w:sz w:val="20"/>
    </w:rPr>
  </w:style>
  <w:style w:type="paragraph" w:styleId="Kommentarthema">
    <w:name w:val="annotation subject"/>
    <w:basedOn w:val="Kommentartext"/>
    <w:next w:val="Kommentartext"/>
    <w:semiHidden/>
    <w:rsid w:val="00DB3BD7"/>
    <w:rPr>
      <w:b/>
      <w:bCs/>
    </w:rPr>
  </w:style>
  <w:style w:type="paragraph" w:styleId="Sprechblasentext">
    <w:name w:val="Balloon Text"/>
    <w:basedOn w:val="Standard"/>
    <w:semiHidden/>
    <w:rsid w:val="00DB3BD7"/>
    <w:rPr>
      <w:rFonts w:ascii="Tahoma" w:hAnsi="Tahoma" w:cs="Tahoma"/>
      <w:sz w:val="16"/>
      <w:szCs w:val="16"/>
    </w:rPr>
  </w:style>
  <w:style w:type="character" w:styleId="Hyperlink">
    <w:name w:val="Hyperlink"/>
    <w:basedOn w:val="Absatz-Standardschriftart"/>
    <w:rsid w:val="0035681D"/>
    <w:rPr>
      <w:color w:val="0000FF"/>
      <w:u w:val="single"/>
    </w:rPr>
  </w:style>
  <w:style w:type="paragraph" w:styleId="Listenabsatz">
    <w:name w:val="List Paragraph"/>
    <w:basedOn w:val="Standard"/>
    <w:uiPriority w:val="34"/>
    <w:qFormat/>
    <w:rsid w:val="00E05484"/>
    <w:pPr>
      <w:ind w:left="720"/>
      <w:contextualSpacing/>
    </w:pPr>
  </w:style>
  <w:style w:type="character" w:styleId="BesuchterLink">
    <w:name w:val="FollowedHyperlink"/>
    <w:basedOn w:val="Absatz-Standardschriftart"/>
    <w:rsid w:val="00CE32BE"/>
    <w:rPr>
      <w:color w:val="800080" w:themeColor="followedHyperlink"/>
      <w:u w:val="single"/>
    </w:rPr>
  </w:style>
  <w:style w:type="paragraph" w:styleId="Titel">
    <w:name w:val="Title"/>
    <w:basedOn w:val="WeisungKopfteil"/>
    <w:next w:val="Standard"/>
    <w:link w:val="TitelZchn"/>
    <w:qFormat/>
    <w:rsid w:val="006C16B3"/>
    <w:pPr>
      <w:framePr w:hSpace="141" w:wrap="around" w:vAnchor="text" w:hAnchor="margin" w:x="70" w:y="2"/>
      <w:spacing w:before="120" w:after="120"/>
    </w:pPr>
    <w:rPr>
      <w:rFonts w:ascii="Arial" w:hAnsi="Arial"/>
      <w:bCs/>
    </w:rPr>
  </w:style>
  <w:style w:type="character" w:customStyle="1" w:styleId="TitelZchn">
    <w:name w:val="Titel Zchn"/>
    <w:basedOn w:val="Absatz-Standardschriftart"/>
    <w:link w:val="Titel"/>
    <w:rsid w:val="006C16B3"/>
    <w:rPr>
      <w:rFonts w:ascii="Arial" w:hAnsi="Arial" w:cs="Arial"/>
      <w:b/>
      <w:bCs/>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519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ozeloixps.global.szh.loc/ix-SOZ_ELO_DM01/plugin/de.elo.ix.plugin.proxy/web/pages/startup.jsp?useSSO=true&amp;guid=(2585F4B8-9CAA-F570-2EFF-8DA6529B0DB8)"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SOD Praxishilfe (PRA)" ma:contentTypeID="0x01010012DCBF5558F0D14AB1FD168DE6C7A40C0100309021253101A04D9D9A7096FBAB356B" ma:contentTypeVersion="18" ma:contentTypeDescription="" ma:contentTypeScope="" ma:versionID="7acbe78d3abde7301c4c51a88e734ebb">
  <xsd:schema xmlns:xsd="http://www.w3.org/2001/XMLSchema" xmlns:xs="http://www.w3.org/2001/XMLSchema" xmlns:p="http://schemas.microsoft.com/office/2006/metadata/properties" xmlns:ns2="f3b92940-74e1-4b32-811a-cd501d17ae23" xmlns:ns3="3905ffbc-9aeb-4d51-937e-ee1e2cf00671" targetNamespace="http://schemas.microsoft.com/office/2006/metadata/properties" ma:root="true" ma:fieldsID="396aa12fd7e4edf08136839ced376dc1" ns2:_="" ns3:_="">
    <xsd:import namespace="f3b92940-74e1-4b32-811a-cd501d17ae23"/>
    <xsd:import namespace="3905ffbc-9aeb-4d51-937e-ee1e2cf00671"/>
    <xsd:element name="properties">
      <xsd:complexType>
        <xsd:sequence>
          <xsd:element name="documentManagement">
            <xsd:complexType>
              <xsd:all>
                <xsd:element ref="ns2:Fachkonzept" minOccurs="0"/>
                <xsd:element ref="ns3:Gültig_x0020_von" minOccurs="0"/>
                <xsd:element ref="ns3:Gültig_x0020_bis" minOccurs="0"/>
                <xsd:element ref="ns2:Leistung" minOccurs="0"/>
                <xsd:element ref="ns3:Kurzbeschreibung_x0020_Dokument" minOccurs="0"/>
                <xsd:element ref="ns2:Gesetzliche_x0020_Grundlage" minOccurs="0"/>
                <xsd:element ref="ns2:Dokumentenstatus" minOccurs="0"/>
                <xsd:element ref="ns2:Federführende_x002f_s_x0020_Fachressort_x002f_Einheit" minOccurs="0"/>
                <xsd:element ref="ns3:Verantwortliche_x002f_r_x0020_Autor_x002f_in" minOccurs="0"/>
                <xsd:element ref="ns3:Version_x0020_des_x0020_Dokuments" minOccurs="0"/>
                <xsd:element ref="ns2:Zu_x0020_konsultierende_x002f_-s_x0020_Fachressort_x002f_-s" minOccurs="0"/>
                <xsd:element ref="ns3:Dokumentenart1" minOccurs="0"/>
                <xsd:element ref="ns2:Herausgabe_x0020_bei_x0020_Informationszugangsgesuchen" minOccurs="0"/>
                <xsd:element ref="ns2:Thematische_x0020_Zuordnung_x0020_Fachressort_x0028_s_x0029_" minOccurs="0"/>
                <xsd:element ref="ns2:SKOS-Kapitel" minOccurs="0"/>
                <xsd:element ref="ns3:Kontaktperson_x0020_für_x0020_SOD_x0020_KO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b92940-74e1-4b32-811a-cd501d17ae23" elementFormDefault="qualified">
    <xsd:import namespace="http://schemas.microsoft.com/office/2006/documentManagement/types"/>
    <xsd:import namespace="http://schemas.microsoft.com/office/infopath/2007/PartnerControls"/>
    <xsd:element name="Fachkonzept" ma:index="2" nillable="true" ma:displayName="Fachkonzept" ma:list="{37929010-da33-400d-b3d9-4f8038f81797}" ma:internalName="Fachkonzept" ma:showField="Title" ma:web="f3b92940-74e1-4b32-811a-cd501d17ae23">
      <xsd:simpleType>
        <xsd:restriction base="dms:Lookup"/>
      </xsd:simpleType>
    </xsd:element>
    <xsd:element name="Leistung" ma:index="5" nillable="true" ma:displayName="Leistung" ma:indexed="true" ma:list="{f78fec3a-afd0-4600-b518-45bb4a09e05e}" ma:internalName="Leistung" ma:showField="Title" ma:web="f3b92940-74e1-4b32-811a-cd501d17ae23">
      <xsd:simpleType>
        <xsd:restriction base="dms:Lookup"/>
      </xsd:simpleType>
    </xsd:element>
    <xsd:element name="Gesetzliche_x0020_Grundlage" ma:index="7" nillable="true" ma:displayName="Gesetzliche Grundlage" ma:list="{bd5ad17e-2ee2-436f-8a8a-9b694b97f7e5}" ma:internalName="Gesetzliche_x0020_Grundlage" ma:showField="Title" ma:web="f3b92940-74e1-4b32-811a-cd501d17ae23">
      <xsd:simpleType>
        <xsd:restriction base="dms:Lookup"/>
      </xsd:simpleType>
    </xsd:element>
    <xsd:element name="Dokumentenstatus" ma:index="14" nillable="true" ma:displayName="Dokumentenstatus" ma:list="{c063dc89-2c1e-44f8-81bb-791d596a4159}" ma:internalName="Dokumentenstatus" ma:showField="Title" ma:web="f3b92940-74e1-4b32-811a-cd501d17ae23">
      <xsd:simpleType>
        <xsd:restriction base="dms:Lookup"/>
      </xsd:simpleType>
    </xsd:element>
    <xsd:element name="Federführende_x002f_s_x0020_Fachressort_x002f_Einheit" ma:index="15" nillable="true" ma:displayName="Federführende/s Fachressort/Einheit" ma:indexed="true" ma:list="{09bc735c-2d48-4159-97e9-325642ff7eac}" ma:internalName="Federf_x00fc_hrende_x002F_s_x0020_Fachressort_x002F_Einheit" ma:showField="Title" ma:web="f3b92940-74e1-4b32-811a-cd501d17ae23">
      <xsd:simpleType>
        <xsd:restriction base="dms:Lookup"/>
      </xsd:simpleType>
    </xsd:element>
    <xsd:element name="Zu_x0020_konsultierende_x002f_-s_x0020_Fachressort_x002f_-s" ma:index="18" nillable="true" ma:displayName="Zu konsultierende/-s Fachressort/-s" ma:list="{09bc735c-2d48-4159-97e9-325642ff7eac}" ma:internalName="Zu_x0020_konsultierende_x002F__x002d_s_x0020_Fachressort_x002F__x002d_s"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Herausgabe_x0020_bei_x0020_Informationszugangsgesuchen" ma:index="20" nillable="true" ma:displayName="Herausgabe bei Informationszugangsgesuchen" ma:format="RadioButtons" ma:internalName="Herausgabe_x0020_bei_x0020_Informationszugangsgesuchen">
      <xsd:simpleType>
        <xsd:union memberTypes="dms:Text">
          <xsd:simpleType>
            <xsd:restriction base="dms:Choice">
              <xsd:enumeration value="kann herausgegeben werden"/>
              <xsd:enumeration value="Herausgabe durch Direktorin zu prüfen"/>
            </xsd:restriction>
          </xsd:simpleType>
        </xsd:union>
      </xsd:simpleType>
    </xsd:element>
    <xsd:element name="Thematische_x0020_Zuordnung_x0020_Fachressort_x0028_s_x0029_" ma:index="21" nillable="true" ma:displayName="Thematische Zuordnung Fachressort(s)" ma:list="{09bc735c-2d48-4159-97e9-325642ff7eac}" ma:internalName="Thematische_x0020_Zuordnung_x0020_Fachressort_x0028_s_x0029_"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SKOS-Kapitel" ma:index="22" nillable="true" ma:displayName="SKOS-Kapitel" ma:list="{4014a501-2381-48fb-95f7-9f3a71dca39b}" ma:internalName="SKOS_x002d_Kapitel"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905ffbc-9aeb-4d51-937e-ee1e2cf00671" elementFormDefault="qualified">
    <xsd:import namespace="http://schemas.microsoft.com/office/2006/documentManagement/types"/>
    <xsd:import namespace="http://schemas.microsoft.com/office/infopath/2007/PartnerControls"/>
    <xsd:element name="Gültig_x0020_von" ma:index="3" nillable="true" ma:displayName="Gültig von" ma:description="Ab wann gilt das Dokument?" ma:format="DateOnly" ma:internalName="G_x00fc_ltig_x0020_von">
      <xsd:simpleType>
        <xsd:restriction base="dms:DateTime"/>
      </xsd:simpleType>
    </xsd:element>
    <xsd:element name="Gültig_x0020_bis" ma:index="4" nillable="true" ma:displayName="Gültig bis" ma:description="Bis wann gilt das Dokument?" ma:format="DateOnly" ma:internalName="G_x00fc_ltig_x0020_bis">
      <xsd:simpleType>
        <xsd:restriction base="dms:DateTime"/>
      </xsd:simpleType>
    </xsd:element>
    <xsd:element name="Kurzbeschreibung_x0020_Dokument" ma:index="6" nillable="true" ma:displayName="Kurzbeschreibung Dokument" ma:description="Um was geht es im Dokument bzw. was wird darin geregelt? Bitte kurz halten." ma:internalName="Kurzbeschreibung_x0020_Dokument">
      <xsd:simpleType>
        <xsd:restriction base="dms:Note">
          <xsd:maxLength value="255"/>
        </xsd:restriction>
      </xsd:simpleType>
    </xsd:element>
    <xsd:element name="Verantwortliche_x002f_r_x0020_Autor_x002f_in" ma:index="16" nillable="true" ma:displayName="Verantwortliche/r Autor/in / Kontaktperson" ma:description="Kürzel oder Verteiler eintragen." ma:list="UserInfo" ma:SearchPeopleOnly="false" ma:SharePointGroup="0" ma:internalName="Verantwortliche_x002F_r_x0020_Autor_x002F_in"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Version_x0020_des_x0020_Dokuments" ma:index="17" nillable="true" ma:displayName="Version des Dokuments" ma:description="Wird in der Fusszeile aufgeführt." ma:internalName="Version_x0020_des_x0020_Dokuments">
      <xsd:simpleType>
        <xsd:restriction base="dms:Text">
          <xsd:maxLength value="255"/>
        </xsd:restriction>
      </xsd:simpleType>
    </xsd:element>
    <xsd:element name="Dokumentenart1" ma:index="19" nillable="true" ma:displayName="Dokumentenart" ma:indexed="true" ma:internalName="Dokumentenart1" ma:readOnly="false">
      <xsd:simpleType>
        <xsd:restriction base="dms:Text">
          <xsd:maxLength value="255"/>
        </xsd:restriction>
      </xsd:simpleType>
    </xsd:element>
    <xsd:element name="Kontaktperson_x0020_für_x0020_SOD_x0020_KOM" ma:index="23" nillable="true" ma:displayName="Kontaktperson für SOD KOM" ma:description="Wer ist Ansprechperson zu diesem Dokument für das KOM-Team?" ma:list="UserInfo" ma:SharePointGroup="0" ma:internalName="Kontaktperson_x0020_f_x00fc_r_x0020_SOD_x0020_KOM" ma:readOnly="false"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Zu_x0020_konsultierende_x002f_-s_x0020_Fachressort_x002f_-s xmlns="f3b92940-74e1-4b32-811a-cd501d17ae23">
      <Value>5</Value>
    </Zu_x0020_konsultierende_x002f_-s_x0020_Fachressort_x002f_-s>
    <Version_x0020_des_x0020_Dokuments xmlns="3905ffbc-9aeb-4d51-937e-ee1e2cf00671">1.1</Version_x0020_des_x0020_Dokuments>
    <Gültig_x0020_bis xmlns="3905ffbc-9aeb-4d51-937e-ee1e2cf00671" xsi:nil="true"/>
    <Kontaktperson_x0020_für_x0020_SOD_x0020_KOM xmlns="3905ffbc-9aeb-4d51-937e-ee1e2cf00671">
      <UserInfo>
        <DisplayName>i:0#.w|global\sozsodk</DisplayName>
        <AccountId>392</AccountId>
        <AccountType/>
      </UserInfo>
    </Kontaktperson_x0020_für_x0020_SOD_x0020_KOM>
    <Kurzbeschreibung_x0020_Dokument xmlns="3905ffbc-9aeb-4d51-937e-ee1e2cf00671">&lt;div&gt;&lt;/div&gt;</Kurzbeschreibung_x0020_Dokument>
    <Verantwortliche_x002f_r_x0020_Autor_x002f_in xmlns="3905ffbc-9aeb-4d51-937e-ee1e2cf00671">
      <UserInfo>
        <DisplayName>i:0#.w|global\sozsodk</DisplayName>
        <AccountId>392</AccountId>
        <AccountType/>
      </UserInfo>
    </Verantwortliche_x002f_r_x0020_Autor_x002f_in>
    <Dokumentenstatus xmlns="f3b92940-74e1-4b32-811a-cd501d17ae23">3</Dokumentenstatus>
    <Gültig_x0020_von xmlns="3905ffbc-9aeb-4d51-937e-ee1e2cf00671">2020-12-31T23:00:00+00:00</Gültig_x0020_von>
    <Dokumentenart1 xmlns="3905ffbc-9aeb-4d51-937e-ee1e2cf00671">SOD Praxishilfe (PRA)</Dokumentenart1>
    <Federführende_x002f_s_x0020_Fachressort_x002f_Einheit xmlns="f3b92940-74e1-4b32-811a-cd501d17ae23">5</Federführende_x002f_s_x0020_Fachressort_x002f_Einheit>
    <Herausgabe_x0020_bei_x0020_Informationszugangsgesuchen xmlns="f3b92940-74e1-4b32-811a-cd501d17ae23">kann herausgegeben werden</Herausgabe_x0020_bei_x0020_Informationszugangsgesuchen>
    <SKOS-Kapitel xmlns="f3b92940-74e1-4b32-811a-cd501d17ae23">
      <Value>5</Value>
    </SKOS-Kapitel>
    <Fachkonzept xmlns="f3b92940-74e1-4b32-811a-cd501d17ae23" xsi:nil="true"/>
    <Leistung xmlns="f3b92940-74e1-4b32-811a-cd501d17ae23" xsi:nil="true"/>
    <Gesetzliche_x0020_Grundlage xmlns="f3b92940-74e1-4b32-811a-cd501d17ae23" xsi:nil="true"/>
    <Thematische_x0020_Zuordnung_x0020_Fachressort_x0028_s_x0029_ xmlns="f3b92940-74e1-4b32-811a-cd501d17ae23">
      <Value>5</Value>
    </Thematische_x0020_Zuordnung_x0020_Fachressort_x0028_s_x0029_>
  </documentManagement>
</p:properties>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635509714904620989</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635509714904620989</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635509714904620989</Data>
    <Filter/>
  </Receiver>
  <Receiver>
    <Name>Nintex conditional workflow start</Name>
    <Synchronization>Synchronous</Synchronization>
    <Type>10004</Type>
    <SequenceNumber>50000</SequenceNumber>
    <Assembly>Nintex.Workflow, Version=1.0.0.0, Culture=neutral, PublicKeyToken=913f6bae0ca5ae12</Assembly>
    <Class>Nintex.Workflow.ConditionalWorkflowStartReceiver</Class>
    <Data>635509714904620989</Data>
    <Filter/>
  </Receiver>
</spe:Receivers>
</file>

<file path=customXml/itemProps1.xml><?xml version="1.0" encoding="utf-8"?>
<ds:datastoreItem xmlns:ds="http://schemas.openxmlformats.org/officeDocument/2006/customXml" ds:itemID="{2A085EC0-4123-456A-A460-E9C81477A5A9}">
  <ds:schemaRefs>
    <ds:schemaRef ds:uri="http://schemas.microsoft.com/office/2006/metadata/longProperties"/>
  </ds:schemaRefs>
</ds:datastoreItem>
</file>

<file path=customXml/itemProps2.xml><?xml version="1.0" encoding="utf-8"?>
<ds:datastoreItem xmlns:ds="http://schemas.openxmlformats.org/officeDocument/2006/customXml" ds:itemID="{EDD60826-449B-4ADD-A0C2-990C668D4A4D}">
  <ds:schemaRefs>
    <ds:schemaRef ds:uri="http://schemas.microsoft.com/office/2006/metadata/customXsn"/>
  </ds:schemaRefs>
</ds:datastoreItem>
</file>

<file path=customXml/itemProps3.xml><?xml version="1.0" encoding="utf-8"?>
<ds:datastoreItem xmlns:ds="http://schemas.openxmlformats.org/officeDocument/2006/customXml" ds:itemID="{2392FFFD-DE5F-42E9-AF1A-1B86E3F143CA}">
  <ds:schemaRefs>
    <ds:schemaRef ds:uri="http://schemas.microsoft.com/sharepoint/v3/contenttype/forms"/>
  </ds:schemaRefs>
</ds:datastoreItem>
</file>

<file path=customXml/itemProps4.xml><?xml version="1.0" encoding="utf-8"?>
<ds:datastoreItem xmlns:ds="http://schemas.openxmlformats.org/officeDocument/2006/customXml" ds:itemID="{71C2E955-3F00-4D6D-ABA6-39B18369F7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b92940-74e1-4b32-811a-cd501d17ae23"/>
    <ds:schemaRef ds:uri="3905ffbc-9aeb-4d51-937e-ee1e2cf006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A620EE8-BB52-406C-89C6-67B04D885914}">
  <ds:schemaRefs>
    <ds:schemaRef ds:uri="http://schemas.microsoft.com/office/2006/documentManagement/types"/>
    <ds:schemaRef ds:uri="http://schemas.microsoft.com/office/2006/metadata/properties"/>
    <ds:schemaRef ds:uri="http://schemas.openxmlformats.org/package/2006/metadata/core-properties"/>
    <ds:schemaRef ds:uri="f3b92940-74e1-4b32-811a-cd501d17ae23"/>
    <ds:schemaRef ds:uri="http://purl.org/dc/terms/"/>
    <ds:schemaRef ds:uri="3905ffbc-9aeb-4d51-937e-ee1e2cf00671"/>
    <ds:schemaRef ds:uri="http://purl.org/dc/dcmitype/"/>
    <ds:schemaRef ds:uri="http://schemas.microsoft.com/office/infopath/2007/PartnerControls"/>
    <ds:schemaRef ds:uri="http://www.w3.org/XML/1998/namespace"/>
    <ds:schemaRef ds:uri="http://purl.org/dc/elements/1.1/"/>
  </ds:schemaRefs>
</ds:datastoreItem>
</file>

<file path=customXml/itemProps6.xml><?xml version="1.0" encoding="utf-8"?>
<ds:datastoreItem xmlns:ds="http://schemas.openxmlformats.org/officeDocument/2006/customXml" ds:itemID="{B9B88A8A-0034-4C3B-A819-32921D359965}">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3198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PRA Verrechnung, Kürzung und (Teil-)Einstellung von Unterstützungsleistungen</vt:lpstr>
    </vt:vector>
  </TitlesOfParts>
  <Company>EHP</Company>
  <LinksUpToDate>false</LinksUpToDate>
  <CharactersWithSpaces>3608</CharactersWithSpaces>
  <SharedDoc>false</SharedDoc>
  <HLinks>
    <vt:vector size="12" baseType="variant">
      <vt:variant>
        <vt:i4>1900659</vt:i4>
      </vt:variant>
      <vt:variant>
        <vt:i4>3</vt:i4>
      </vt:variant>
      <vt:variant>
        <vt:i4>0</vt:i4>
      </vt:variant>
      <vt:variant>
        <vt:i4>5</vt:i4>
      </vt:variant>
      <vt:variant>
        <vt:lpwstr>http://sd.intra.stzh.ch/intranet/sd/sod/haw.ParagraphContainerList.ParagraphContainer0.ParagraphList.0137.File.pdf/HAW_Rueckforderung.pdf</vt:lpwstr>
      </vt:variant>
      <vt:variant>
        <vt:lpwstr/>
      </vt:variant>
      <vt:variant>
        <vt:i4>4063318</vt:i4>
      </vt:variant>
      <vt:variant>
        <vt:i4>0</vt:i4>
      </vt:variant>
      <vt:variant>
        <vt:i4>0</vt:i4>
      </vt:variant>
      <vt:variant>
        <vt:i4>5</vt:i4>
      </vt:variant>
      <vt:variant>
        <vt:lpwstr>http://sd.intra.stzh.ch/intranet/sd/sod/leistungen_intake/wirtschaftliche_sozialhilfe/SKOS_A.html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 Verrechnung, Kürzung und (Teil-)Einstellung von Unterstützungsleistungen</dc:title>
  <dc:creator>Mylonas Nicole (SD)</dc:creator>
  <cp:lastModifiedBy>Sandra Voegeli (sozvbs)</cp:lastModifiedBy>
  <cp:revision>7</cp:revision>
  <cp:lastPrinted>2015-11-16T08:47:00Z</cp:lastPrinted>
  <dcterms:created xsi:type="dcterms:W3CDTF">2021-06-21T06:43:00Z</dcterms:created>
  <dcterms:modified xsi:type="dcterms:W3CDTF">2022-01-14T13:04:00Z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0x01010012DCBF5558F0D14AB1FD168DE6C7A40C0100309021253101A04D9D9A7096FBAB356B</vt:lpwstr>
  </property>
  <property fmtid="{D5CDD505-2E9C-101B-9397-08002B2CF9AE}" pid="3" name="Link Ablageort im Intranet SOD">
    <vt:lpwstr/>
  </property>
  <property fmtid="{D5CDD505-2E9C-101B-9397-08002B2CF9AE}" pid="4" name="Dokumentenart">
    <vt:lpwstr>PRA Praxishilfe</vt:lpwstr>
  </property>
  <property fmtid="{D5CDD505-2E9C-101B-9397-08002B2CF9AE}" pid="5" name="Bemerkungen">
    <vt:lpwstr/>
  </property>
  <property fmtid="{D5CDD505-2E9C-101B-9397-08002B2CF9AE}" pid="6" name="Intranetverlinkung">
    <vt:lpwstr>Nein</vt:lpwstr>
  </property>
  <property fmtid="{D5CDD505-2E9C-101B-9397-08002B2CF9AE}" pid="7" name="display_urn:schemas-microsoft-com:office:office#Editor">
    <vt:lpwstr>Hohermuth Ivo (SD)</vt:lpwstr>
  </property>
  <property fmtid="{D5CDD505-2E9C-101B-9397-08002B2CF9AE}" pid="8" name="TemplateUrl">
    <vt:lpwstr/>
  </property>
  <property fmtid="{D5CDD505-2E9C-101B-9397-08002B2CF9AE}" pid="9" name="Order">
    <vt:r8>1074100</vt:r8>
  </property>
  <property fmtid="{D5CDD505-2E9C-101B-9397-08002B2CF9AE}" pid="10" name="xd_ProgID">
    <vt:lpwstr/>
  </property>
  <property fmtid="{D5CDD505-2E9C-101B-9397-08002B2CF9AE}" pid="11" name="PublishingPreviewImage">
    <vt:lpwstr/>
  </property>
  <property fmtid="{D5CDD505-2E9C-101B-9397-08002B2CF9AE}" pid="12" name="AutorIn">
    <vt:lpwstr/>
  </property>
  <property fmtid="{D5CDD505-2E9C-101B-9397-08002B2CF9AE}" pid="13" name="display_urn:schemas-microsoft-com:office:office#Author">
    <vt:lpwstr>Hohermuth Ivo (SD)</vt:lpwstr>
  </property>
  <property fmtid="{D5CDD505-2E9C-101B-9397-08002B2CF9AE}" pid="14" name="PublishingAssociatedVariations">
    <vt:lpwstr/>
  </property>
  <property fmtid="{D5CDD505-2E9C-101B-9397-08002B2CF9AE}" pid="15" name="CMS-Medienbiblithek">
    <vt:lpwstr>0</vt:lpwstr>
  </property>
  <property fmtid="{D5CDD505-2E9C-101B-9397-08002B2CF9AE}" pid="16" name="PublishingHidden">
    <vt:lpwstr>0</vt:lpwstr>
  </property>
  <property fmtid="{D5CDD505-2E9C-101B-9397-08002B2CF9AE}" pid="17" name="PublishingAssociatedContentType">
    <vt:lpwstr/>
  </property>
  <property fmtid="{D5CDD505-2E9C-101B-9397-08002B2CF9AE}" pid="18" name="_dlc_DocId">
    <vt:lpwstr>SDSOD-119-625</vt:lpwstr>
  </property>
  <property fmtid="{D5CDD505-2E9C-101B-9397-08002B2CF9AE}" pid="19" name="_dlc_DocIdItemGuid">
    <vt:lpwstr>b840d86c-0bbc-41b3-af5a-5cd0cc9654f4</vt:lpwstr>
  </property>
  <property fmtid="{D5CDD505-2E9C-101B-9397-08002B2CF9AE}" pid="20" name="_dlc_DocIdUrl">
    <vt:lpwstr>http://portal.sd.intra.stzh.ch/sod/regelwerk/_layouts/DocIdRedir.aspx?ID=SDSOD-119-625, SDSOD-119-625</vt:lpwstr>
  </property>
  <property fmtid="{D5CDD505-2E9C-101B-9397-08002B2CF9AE}" pid="21" name="1. Ebene">
    <vt:lpwstr/>
  </property>
  <property fmtid="{D5CDD505-2E9C-101B-9397-08002B2CF9AE}" pid="22" name="5. Ebene">
    <vt:lpwstr/>
  </property>
  <property fmtid="{D5CDD505-2E9C-101B-9397-08002B2CF9AE}" pid="23" name="4. Ebene">
    <vt:lpwstr/>
  </property>
  <property fmtid="{D5CDD505-2E9C-101B-9397-08002B2CF9AE}" pid="24" name="3. Ebene">
    <vt:lpwstr/>
  </property>
  <property fmtid="{D5CDD505-2E9C-101B-9397-08002B2CF9AE}" pid="25" name="PublishingContact">
    <vt:lpwstr/>
  </property>
  <property fmtid="{D5CDD505-2E9C-101B-9397-08002B2CF9AE}" pid="26" name="2. Ebene">
    <vt:lpwstr/>
  </property>
  <property fmtid="{D5CDD505-2E9C-101B-9397-08002B2CF9AE}" pid="27" name="IsMyDocuments">
    <vt:bool>true</vt:bool>
  </property>
  <property fmtid="{D5CDD505-2E9C-101B-9397-08002B2CF9AE}" pid="28" name="WorkflowChangePath">
    <vt:lpwstr>341fbddd-ec65-48e1-adf9-5a4e166d833e,9;341fbddd-ec65-48e1-adf9-5a4e166d833e,12;498d860f-cbd0-4500-a53b-08f6ed17cb6e,15;7dbe9e3d-1110-41fa-836b-195a3e49061c,9;7dbe9e3d-1110-41fa-836b-195a3e49061c,11;7dbe9e3d-1110-41fa-836b-195a3e49061c,13;7dbe9e3d-1110-41f</vt:lpwstr>
  </property>
  <property fmtid="{D5CDD505-2E9C-101B-9397-08002B2CF9AE}" pid="29" name="Dokumentenart1">
    <vt:lpwstr>SOD Praxishilfe (PRA)</vt:lpwstr>
  </property>
  <property fmtid="{D5CDD505-2E9C-101B-9397-08002B2CF9AE}" pid="30" name="IntraZueriMandant">
    <vt:lpwstr>1;#SOD|d2ca4cc4-367d-4a9a-a3b2-38906409b4ae</vt:lpwstr>
  </property>
  <property fmtid="{D5CDD505-2E9C-101B-9397-08002B2CF9AE}" pid="31" name="Federführende/s Fachressort/Einheit">
    <vt:lpwstr>5</vt:lpwstr>
  </property>
  <property fmtid="{D5CDD505-2E9C-101B-9397-08002B2CF9AE}" pid="32" name="Herausgabe bei Informationszugangsgesuchen">
    <vt:lpwstr>kann herausgegeben werden</vt:lpwstr>
  </property>
  <property fmtid="{D5CDD505-2E9C-101B-9397-08002B2CF9AE}" pid="33" name="SKOS-Kapitel">
    <vt:lpwstr>1;#</vt:lpwstr>
  </property>
  <property fmtid="{D5CDD505-2E9C-101B-9397-08002B2CF9AE}" pid="34" name="Thematische Zuordnung Fachressort(s)">
    <vt:lpwstr>5;#;#3;#</vt:lpwstr>
  </property>
</Properties>
</file>