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1404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9507"/>
        <w:gridCol w:w="2310"/>
      </w:tblGrid>
      <w:tr w:rsidR="008278CD" w14:paraId="130507BB" w14:textId="77777777">
        <w:trPr>
          <w:cantSplit/>
          <w:trHeight w:val="503"/>
        </w:trPr>
        <w:tc>
          <w:tcPr>
            <w:tcW w:w="2223" w:type="dxa"/>
            <w:tcBorders>
              <w:top w:val="single" w:sz="4" w:space="0" w:color="808080"/>
              <w:left w:val="single" w:sz="4" w:space="0" w:color="808080"/>
              <w:bottom w:val="nil"/>
              <w:right w:val="single" w:sz="6" w:space="0" w:color="808080"/>
            </w:tcBorders>
            <w:shd w:val="clear" w:color="auto" w:fill="F3F3F3"/>
          </w:tcPr>
          <w:p w14:paraId="28AA7348" w14:textId="77777777" w:rsidR="008278CD" w:rsidRDefault="008278CD">
            <w:pPr>
              <w:pStyle w:val="WeisungKopfteil"/>
              <w:framePr w:hSpace="0" w:wrap="auto" w:vAnchor="margin" w:hAnchor="text" w:xAlign="left" w:yAlign="inline"/>
              <w:rPr>
                <w:b w:val="0"/>
                <w:bCs/>
                <w:sz w:val="20"/>
              </w:rPr>
            </w:pPr>
            <w:bookmarkStart w:id="0" w:name="_GoBack"/>
            <w:bookmarkEnd w:id="0"/>
            <w:r>
              <w:t xml:space="preserve">Zuordnung: </w:t>
            </w:r>
          </w:p>
        </w:tc>
        <w:bookmarkStart w:id="1" w:name="Dokumentenart"/>
        <w:tc>
          <w:tcPr>
            <w:tcW w:w="9507" w:type="dxa"/>
            <w:vMerge w:val="restart"/>
            <w:tcBorders>
              <w:top w:val="single" w:sz="4" w:space="0" w:color="808080"/>
              <w:left w:val="single" w:sz="6" w:space="0" w:color="808080"/>
              <w:right w:val="single" w:sz="6" w:space="0" w:color="808080"/>
            </w:tcBorders>
            <w:shd w:val="clear" w:color="auto" w:fill="F3F3F3"/>
          </w:tcPr>
          <w:p w14:paraId="2E1548FB" w14:textId="77777777" w:rsidR="008278CD" w:rsidRDefault="00A72D8F">
            <w:pPr>
              <w:pStyle w:val="WeisungKopfteil"/>
              <w:framePr w:hSpace="0" w:wrap="auto" w:vAnchor="margin" w:hAnchor="text" w:xAlign="left" w:yAlign="inline"/>
              <w:jc w:val="center"/>
            </w:pPr>
            <w:r>
              <w:fldChar w:fldCharType="begin">
                <w:ffData>
                  <w:name w:val="Dokumentenart"/>
                  <w:enabled/>
                  <w:calcOnExit w:val="0"/>
                  <w:ddList>
                    <w:result w:val="7"/>
                    <w:listEntry w:val="Bitte wählen"/>
                    <w:listEntry w:val="Handlungsanweisung der Direktorin"/>
                    <w:listEntry w:val="Praxishilfe"/>
                    <w:listEntry w:val="Konzept"/>
                    <w:listEntry w:val="Kurzkonzept"/>
                    <w:listEntry w:val="Information"/>
                    <w:listEntry w:val="Manual"/>
                    <w:listEntry w:val="Prozess"/>
                  </w:ddList>
                </w:ffData>
              </w:fldChar>
            </w:r>
            <w:r>
              <w:instrText xml:space="preserve"> FORMDROPDOWN </w:instrText>
            </w:r>
            <w:r w:rsidR="00027E66">
              <w:fldChar w:fldCharType="separate"/>
            </w:r>
            <w:r>
              <w:fldChar w:fldCharType="end"/>
            </w:r>
            <w:bookmarkEnd w:id="1"/>
            <w:r w:rsidR="008278CD">
              <w:br/>
            </w:r>
          </w:p>
        </w:tc>
        <w:bookmarkStart w:id="2" w:name="Dropdown1"/>
        <w:tc>
          <w:tcPr>
            <w:tcW w:w="2310" w:type="dxa"/>
            <w:tcBorders>
              <w:top w:val="single" w:sz="4" w:space="0" w:color="808080"/>
              <w:left w:val="single" w:sz="6" w:space="0" w:color="808080"/>
              <w:bottom w:val="nil"/>
              <w:right w:val="single" w:sz="4" w:space="0" w:color="808080"/>
            </w:tcBorders>
            <w:shd w:val="clear" w:color="auto" w:fill="F3F3F3"/>
          </w:tcPr>
          <w:p w14:paraId="019D8507" w14:textId="77777777" w:rsidR="008278CD" w:rsidRDefault="00A72D8F">
            <w:pPr>
              <w:pStyle w:val="WeisungKopfteil"/>
              <w:framePr w:hSpace="0" w:wrap="auto" w:vAnchor="margin" w:hAnchor="text" w:xAlign="left" w:yAlign="inline"/>
              <w:ind w:right="15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027E66">
              <w:fldChar w:fldCharType="separate"/>
            </w:r>
            <w:r>
              <w:fldChar w:fldCharType="end"/>
            </w:r>
            <w:bookmarkEnd w:id="2"/>
          </w:p>
        </w:tc>
      </w:tr>
      <w:tr w:rsidR="008278CD" w14:paraId="35C1D32D"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3064E87" w14:textId="479D6E16" w:rsidR="008278CD" w:rsidRDefault="00322413" w:rsidP="006C68A8">
            <w:pPr>
              <w:pStyle w:val="WeisungKopfteil"/>
              <w:framePr w:hSpace="0" w:wrap="auto" w:vAnchor="margin" w:hAnchor="text" w:xAlign="left" w:yAlign="inline"/>
              <w:spacing w:before="0"/>
            </w:pPr>
            <w:r w:rsidRPr="00322413">
              <w:rPr>
                <w:b w:val="0"/>
                <w:bCs/>
                <w:sz w:val="20"/>
                <w:highlight w:val="yellow"/>
              </w:rPr>
              <w:t>SKOS C</w:t>
            </w:r>
          </w:p>
        </w:tc>
        <w:tc>
          <w:tcPr>
            <w:tcW w:w="9507" w:type="dxa"/>
            <w:vMerge/>
            <w:tcBorders>
              <w:left w:val="single" w:sz="6" w:space="0" w:color="808080"/>
              <w:bottom w:val="single" w:sz="6" w:space="0" w:color="808080"/>
              <w:right w:val="single" w:sz="6" w:space="0" w:color="808080"/>
            </w:tcBorders>
            <w:shd w:val="clear" w:color="auto" w:fill="F3F3F3"/>
          </w:tcPr>
          <w:p w14:paraId="63FF5BDB" w14:textId="77777777" w:rsidR="008278CD" w:rsidRDefault="008278CD">
            <w:pPr>
              <w:pStyle w:val="WeisungKopfteil"/>
              <w:framePr w:hSpace="0" w:wrap="auto" w:vAnchor="margin" w:hAnchor="text" w:xAlign="left" w:yAlign="inline"/>
              <w:jc w:val="center"/>
            </w:pPr>
          </w:p>
        </w:tc>
        <w:tc>
          <w:tcPr>
            <w:tcW w:w="2310" w:type="dxa"/>
            <w:tcBorders>
              <w:top w:val="nil"/>
              <w:left w:val="single" w:sz="6" w:space="0" w:color="808080"/>
              <w:bottom w:val="single" w:sz="6" w:space="0" w:color="808080"/>
              <w:right w:val="single" w:sz="4" w:space="0" w:color="808080"/>
            </w:tcBorders>
            <w:shd w:val="clear" w:color="auto" w:fill="F3F3F3"/>
          </w:tcPr>
          <w:p w14:paraId="175512E0" w14:textId="6426F8AD" w:rsidR="006C68A8" w:rsidRDefault="006C68A8" w:rsidP="006F27A2">
            <w:pPr>
              <w:pStyle w:val="WeisungKopfteil"/>
              <w:framePr w:hSpace="0" w:wrap="auto" w:vAnchor="margin" w:hAnchor="text" w:xAlign="left" w:yAlign="inline"/>
              <w:spacing w:before="0"/>
              <w:ind w:right="153"/>
              <w:jc w:val="right"/>
              <w:rPr>
                <w:b w:val="0"/>
                <w:bCs/>
                <w:sz w:val="20"/>
              </w:rPr>
            </w:pPr>
            <w:r w:rsidRPr="00322413">
              <w:rPr>
                <w:b w:val="0"/>
                <w:bCs/>
                <w:sz w:val="20"/>
                <w:highlight w:val="yellow"/>
              </w:rPr>
              <w:t>01.01.2021</w:t>
            </w:r>
          </w:p>
          <w:p w14:paraId="5673DBBD" w14:textId="526211E3" w:rsidR="008278CD" w:rsidRDefault="006C68A8" w:rsidP="006F27A2">
            <w:pPr>
              <w:pStyle w:val="WeisungKopfteil"/>
              <w:framePr w:hSpace="0" w:wrap="auto" w:vAnchor="margin" w:hAnchor="text" w:xAlign="left" w:yAlign="inline"/>
              <w:spacing w:before="0"/>
              <w:ind w:right="153"/>
              <w:jc w:val="right"/>
            </w:pPr>
            <w:r>
              <w:rPr>
                <w:b w:val="0"/>
                <w:bCs/>
                <w:sz w:val="20"/>
              </w:rPr>
              <w:t xml:space="preserve">ersetzt: </w:t>
            </w:r>
            <w:r w:rsidR="00DE1671">
              <w:rPr>
                <w:b w:val="0"/>
                <w:bCs/>
                <w:sz w:val="20"/>
              </w:rPr>
              <w:t>01.01.2015</w:t>
            </w:r>
          </w:p>
        </w:tc>
      </w:tr>
      <w:tr w:rsidR="008278CD" w14:paraId="15C8F9D4" w14:textId="77777777">
        <w:trPr>
          <w:cantSplit/>
          <w:trHeight w:val="410"/>
        </w:trPr>
        <w:tc>
          <w:tcPr>
            <w:tcW w:w="14040" w:type="dxa"/>
            <w:gridSpan w:val="3"/>
            <w:tcBorders>
              <w:top w:val="single" w:sz="6" w:space="0" w:color="808080"/>
              <w:left w:val="single" w:sz="4" w:space="0" w:color="808080"/>
              <w:bottom w:val="single" w:sz="4" w:space="0" w:color="808080"/>
              <w:right w:val="single" w:sz="4" w:space="0" w:color="808080"/>
            </w:tcBorders>
          </w:tcPr>
          <w:p w14:paraId="67CF464E" w14:textId="2FEDA1DB" w:rsidR="008278CD" w:rsidRDefault="00DE1671" w:rsidP="00C97971">
            <w:pPr>
              <w:pStyle w:val="WeisungKopfteil"/>
              <w:framePr w:hSpace="0" w:wrap="auto" w:vAnchor="margin" w:hAnchor="text" w:xAlign="left" w:yAlign="inline"/>
              <w:spacing w:after="120"/>
            </w:pPr>
            <w:r w:rsidRPr="00DE1671">
              <w:t>Prozessbeschreibung: «Rechnungen med</w:t>
            </w:r>
            <w:r w:rsidR="00C97971">
              <w:t>izinische</w:t>
            </w:r>
            <w:r w:rsidRPr="00DE1671">
              <w:t xml:space="preserve"> Behandlungskosten prüfen»</w:t>
            </w:r>
          </w:p>
        </w:tc>
      </w:tr>
    </w:tbl>
    <w:p w14:paraId="5A24E52C" w14:textId="77777777" w:rsidR="00A72D8F" w:rsidRDefault="00A72D8F">
      <w:pPr>
        <w:sectPr w:rsidR="00A72D8F" w:rsidSect="00DE1671">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134" w:bottom="851" w:left="1701" w:header="567" w:footer="0" w:gutter="0"/>
          <w:cols w:space="720"/>
          <w:titlePg/>
          <w:docGrid w:linePitch="299"/>
        </w:sectPr>
      </w:pPr>
    </w:p>
    <w:p w14:paraId="5478BACD" w14:textId="77777777" w:rsidR="00C55B9E" w:rsidRDefault="00DE1671" w:rsidP="00DE1671">
      <w:pPr>
        <w:jc w:val="center"/>
        <w:rPr>
          <w:noProof/>
          <w:lang w:eastAsia="de-CH"/>
        </w:rPr>
      </w:pPr>
      <w:r>
        <w:rPr>
          <w:noProof/>
          <w:lang w:eastAsia="de-CH"/>
        </w:rPr>
        <w:drawing>
          <wp:inline distT="0" distB="0" distL="0" distR="0" wp14:anchorId="3D36C36C" wp14:editId="610B3DC8">
            <wp:extent cx="8315325" cy="505522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17">
                      <a:extLst>
                        <a:ext uri="{28A0092B-C50C-407E-A947-70E740481C1C}">
                          <a14:useLocalDpi xmlns:a14="http://schemas.microsoft.com/office/drawing/2010/main" val="0"/>
                        </a:ext>
                      </a:extLst>
                    </a:blip>
                    <a:srcRect t="8582"/>
                    <a:stretch/>
                  </pic:blipFill>
                  <pic:spPr bwMode="auto">
                    <a:xfrm>
                      <a:off x="0" y="0"/>
                      <a:ext cx="8315325" cy="5055222"/>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14668" w:type="dxa"/>
        <w:tblInd w:w="-40" w:type="dxa"/>
        <w:tblLayout w:type="fixed"/>
        <w:tblCellMar>
          <w:left w:w="70" w:type="dxa"/>
          <w:right w:w="70" w:type="dxa"/>
        </w:tblCellMar>
        <w:tblLook w:val="0000" w:firstRow="0" w:lastRow="0" w:firstColumn="0" w:lastColumn="0" w:noHBand="0" w:noVBand="0"/>
      </w:tblPr>
      <w:tblGrid>
        <w:gridCol w:w="676"/>
        <w:gridCol w:w="1986"/>
        <w:gridCol w:w="2126"/>
        <w:gridCol w:w="8013"/>
        <w:gridCol w:w="1867"/>
      </w:tblGrid>
      <w:tr w:rsidR="00DE1671" w14:paraId="0578703A" w14:textId="77777777" w:rsidTr="00DE1671">
        <w:trPr>
          <w:trHeight w:val="594"/>
        </w:trPr>
        <w:tc>
          <w:tcPr>
            <w:tcW w:w="676" w:type="dxa"/>
            <w:tcBorders>
              <w:top w:val="single" w:sz="8" w:space="0" w:color="auto"/>
              <w:left w:val="single" w:sz="8" w:space="0" w:color="auto"/>
              <w:bottom w:val="single" w:sz="4" w:space="0" w:color="auto"/>
              <w:right w:val="single" w:sz="4" w:space="0" w:color="auto"/>
            </w:tcBorders>
            <w:shd w:val="clear" w:color="auto" w:fill="99CCFF"/>
            <w:noWrap/>
            <w:vAlign w:val="center"/>
          </w:tcPr>
          <w:p w14:paraId="36A320F1" w14:textId="77777777" w:rsidR="00DE1671" w:rsidRDefault="00DE1671" w:rsidP="006C68A8">
            <w:pPr>
              <w:rPr>
                <w:b/>
                <w:bCs/>
                <w:sz w:val="24"/>
                <w:szCs w:val="24"/>
                <w:lang w:eastAsia="de-CH"/>
              </w:rPr>
            </w:pPr>
            <w:r>
              <w:rPr>
                <w:b/>
                <w:bCs/>
                <w:sz w:val="24"/>
                <w:szCs w:val="24"/>
                <w:lang w:eastAsia="de-CH"/>
              </w:rPr>
              <w:lastRenderedPageBreak/>
              <w:t xml:space="preserve">Nr. </w:t>
            </w:r>
          </w:p>
        </w:tc>
        <w:tc>
          <w:tcPr>
            <w:tcW w:w="1986" w:type="dxa"/>
            <w:tcBorders>
              <w:top w:val="single" w:sz="8" w:space="0" w:color="auto"/>
              <w:left w:val="nil"/>
              <w:bottom w:val="single" w:sz="4" w:space="0" w:color="auto"/>
              <w:right w:val="single" w:sz="4" w:space="0" w:color="auto"/>
            </w:tcBorders>
            <w:shd w:val="clear" w:color="auto" w:fill="99CCFF"/>
            <w:noWrap/>
            <w:vAlign w:val="center"/>
          </w:tcPr>
          <w:p w14:paraId="2B33888E" w14:textId="77777777" w:rsidR="00DE1671" w:rsidRDefault="00DE1671" w:rsidP="006C68A8">
            <w:pPr>
              <w:rPr>
                <w:b/>
                <w:bCs/>
                <w:sz w:val="24"/>
                <w:szCs w:val="24"/>
                <w:lang w:eastAsia="de-CH"/>
              </w:rPr>
            </w:pPr>
            <w:r>
              <w:rPr>
                <w:b/>
                <w:bCs/>
                <w:sz w:val="24"/>
                <w:szCs w:val="24"/>
                <w:lang w:eastAsia="de-CH"/>
              </w:rPr>
              <w:t>Prozessschritt</w:t>
            </w:r>
          </w:p>
        </w:tc>
        <w:tc>
          <w:tcPr>
            <w:tcW w:w="2126" w:type="dxa"/>
            <w:tcBorders>
              <w:top w:val="single" w:sz="8" w:space="0" w:color="auto"/>
              <w:left w:val="nil"/>
              <w:bottom w:val="single" w:sz="4" w:space="0" w:color="auto"/>
              <w:right w:val="single" w:sz="4" w:space="0" w:color="auto"/>
            </w:tcBorders>
            <w:shd w:val="clear" w:color="auto" w:fill="99CCFF"/>
            <w:noWrap/>
            <w:vAlign w:val="center"/>
          </w:tcPr>
          <w:p w14:paraId="730A829B" w14:textId="77777777" w:rsidR="00DE1671" w:rsidRDefault="00DE1671" w:rsidP="006C68A8">
            <w:pPr>
              <w:rPr>
                <w:b/>
                <w:bCs/>
                <w:sz w:val="24"/>
                <w:szCs w:val="24"/>
                <w:lang w:eastAsia="de-CH"/>
              </w:rPr>
            </w:pPr>
            <w:r>
              <w:rPr>
                <w:b/>
                <w:bCs/>
                <w:sz w:val="24"/>
                <w:szCs w:val="24"/>
                <w:lang w:eastAsia="de-CH"/>
              </w:rPr>
              <w:t>Verantwortliche</w:t>
            </w:r>
          </w:p>
        </w:tc>
        <w:tc>
          <w:tcPr>
            <w:tcW w:w="8013" w:type="dxa"/>
            <w:tcBorders>
              <w:top w:val="single" w:sz="8" w:space="0" w:color="auto"/>
              <w:left w:val="nil"/>
              <w:bottom w:val="single" w:sz="4" w:space="0" w:color="auto"/>
              <w:right w:val="single" w:sz="4" w:space="0" w:color="auto"/>
            </w:tcBorders>
            <w:shd w:val="clear" w:color="auto" w:fill="99CCFF"/>
            <w:noWrap/>
            <w:vAlign w:val="center"/>
          </w:tcPr>
          <w:p w14:paraId="75415809" w14:textId="77777777" w:rsidR="00DE1671" w:rsidRDefault="00DE1671" w:rsidP="006C68A8">
            <w:pPr>
              <w:rPr>
                <w:b/>
                <w:bCs/>
                <w:sz w:val="24"/>
                <w:szCs w:val="24"/>
                <w:lang w:eastAsia="de-CH"/>
              </w:rPr>
            </w:pPr>
            <w:r>
              <w:rPr>
                <w:b/>
                <w:bCs/>
                <w:sz w:val="24"/>
                <w:szCs w:val="24"/>
                <w:lang w:eastAsia="de-CH"/>
              </w:rPr>
              <w:t>Aufgaben / Tätigkeiten</w:t>
            </w:r>
          </w:p>
        </w:tc>
        <w:tc>
          <w:tcPr>
            <w:tcW w:w="1867" w:type="dxa"/>
            <w:tcBorders>
              <w:top w:val="single" w:sz="8" w:space="0" w:color="auto"/>
              <w:left w:val="nil"/>
              <w:bottom w:val="single" w:sz="4" w:space="0" w:color="auto"/>
              <w:right w:val="single" w:sz="8" w:space="0" w:color="auto"/>
            </w:tcBorders>
            <w:shd w:val="clear" w:color="auto" w:fill="99CCFF"/>
            <w:noWrap/>
            <w:vAlign w:val="center"/>
          </w:tcPr>
          <w:p w14:paraId="66DB487A" w14:textId="77777777" w:rsidR="00DE1671" w:rsidRDefault="00DE1671" w:rsidP="006C68A8">
            <w:pPr>
              <w:rPr>
                <w:b/>
                <w:bCs/>
                <w:sz w:val="24"/>
                <w:szCs w:val="24"/>
                <w:lang w:eastAsia="de-CH"/>
              </w:rPr>
            </w:pPr>
            <w:r>
              <w:rPr>
                <w:b/>
                <w:bCs/>
                <w:sz w:val="24"/>
                <w:szCs w:val="24"/>
                <w:lang w:eastAsia="de-CH"/>
              </w:rPr>
              <w:t>Hilfsmittel</w:t>
            </w:r>
          </w:p>
        </w:tc>
      </w:tr>
      <w:tr w:rsidR="00DE1671" w:rsidRPr="008A1793" w14:paraId="1C3C9610" w14:textId="77777777" w:rsidTr="00DE1671">
        <w:trPr>
          <w:trHeight w:val="1155"/>
        </w:trPr>
        <w:tc>
          <w:tcPr>
            <w:tcW w:w="676" w:type="dxa"/>
            <w:tcBorders>
              <w:top w:val="single" w:sz="4" w:space="0" w:color="auto"/>
              <w:left w:val="single" w:sz="8" w:space="0" w:color="auto"/>
              <w:bottom w:val="single" w:sz="4" w:space="0" w:color="auto"/>
              <w:right w:val="single" w:sz="4" w:space="0" w:color="auto"/>
            </w:tcBorders>
            <w:shd w:val="clear" w:color="auto" w:fill="auto"/>
            <w:noWrap/>
          </w:tcPr>
          <w:p w14:paraId="787616DE" w14:textId="77777777" w:rsidR="00DE1671" w:rsidRPr="00E902FF" w:rsidRDefault="00DE1671" w:rsidP="00DE1671">
            <w:pPr>
              <w:ind w:firstLineChars="118" w:firstLine="260"/>
              <w:rPr>
                <w:b/>
                <w:szCs w:val="22"/>
                <w:lang w:eastAsia="de-CH"/>
              </w:rPr>
            </w:pPr>
            <w:r w:rsidRPr="00E902FF">
              <w:rPr>
                <w:b/>
                <w:szCs w:val="22"/>
                <w:lang w:eastAsia="de-CH"/>
              </w:rPr>
              <w:t>1</w:t>
            </w:r>
          </w:p>
        </w:tc>
        <w:tc>
          <w:tcPr>
            <w:tcW w:w="1986" w:type="dxa"/>
            <w:tcBorders>
              <w:top w:val="single" w:sz="4" w:space="0" w:color="auto"/>
              <w:left w:val="nil"/>
              <w:bottom w:val="single" w:sz="4" w:space="0" w:color="auto"/>
              <w:right w:val="single" w:sz="4" w:space="0" w:color="auto"/>
            </w:tcBorders>
            <w:shd w:val="clear" w:color="auto" w:fill="auto"/>
            <w:noWrap/>
          </w:tcPr>
          <w:p w14:paraId="65582C85" w14:textId="77777777" w:rsidR="00DE1671" w:rsidRPr="00E902FF" w:rsidRDefault="00DE1671" w:rsidP="006C68A8">
            <w:pPr>
              <w:ind w:left="-19"/>
              <w:rPr>
                <w:b/>
                <w:szCs w:val="22"/>
                <w:lang w:eastAsia="de-CH"/>
              </w:rPr>
            </w:pPr>
            <w:r w:rsidRPr="00E902FF">
              <w:rPr>
                <w:b/>
                <w:szCs w:val="22"/>
                <w:lang w:eastAsia="de-CH"/>
              </w:rPr>
              <w:t>Rechnung prüfen</w:t>
            </w:r>
          </w:p>
          <w:p w14:paraId="02B0DD7C" w14:textId="77777777" w:rsidR="00DE1671" w:rsidRPr="00E902FF" w:rsidRDefault="00DE1671" w:rsidP="006C68A8">
            <w:pPr>
              <w:ind w:left="-19"/>
              <w:rPr>
                <w:szCs w:val="22"/>
                <w:lang w:eastAsia="de-CH"/>
              </w:rPr>
            </w:pPr>
          </w:p>
          <w:p w14:paraId="562D987D" w14:textId="77777777" w:rsidR="00DE1671" w:rsidRPr="00E902FF" w:rsidRDefault="00DE1671" w:rsidP="006C68A8">
            <w:pPr>
              <w:ind w:left="-19"/>
              <w:rPr>
                <w:szCs w:val="22"/>
                <w:lang w:eastAsia="de-CH"/>
              </w:rPr>
            </w:pPr>
          </w:p>
          <w:p w14:paraId="2E3FE754" w14:textId="77777777" w:rsidR="00DE1671" w:rsidRPr="00E902FF" w:rsidRDefault="00DE1671" w:rsidP="006C68A8">
            <w:pPr>
              <w:ind w:left="-19"/>
              <w:rPr>
                <w:szCs w:val="22"/>
                <w:lang w:eastAsia="de-CH"/>
              </w:rPr>
            </w:pPr>
          </w:p>
          <w:p w14:paraId="649A4BEB" w14:textId="77777777" w:rsidR="00DE1671" w:rsidRPr="00E902FF" w:rsidRDefault="00DE1671" w:rsidP="006C68A8">
            <w:pPr>
              <w:ind w:left="-19"/>
              <w:rPr>
                <w:szCs w:val="22"/>
                <w:lang w:eastAsia="de-CH"/>
              </w:rPr>
            </w:pPr>
          </w:p>
          <w:p w14:paraId="0E5F5E60" w14:textId="77777777" w:rsidR="00DE1671" w:rsidRPr="00E902FF" w:rsidRDefault="00DE1671" w:rsidP="006C68A8">
            <w:pPr>
              <w:ind w:left="-19"/>
              <w:rPr>
                <w:szCs w:val="22"/>
                <w:lang w:eastAsia="de-CH"/>
              </w:rPr>
            </w:pPr>
          </w:p>
          <w:p w14:paraId="7BB440D8" w14:textId="77777777" w:rsidR="00DE1671" w:rsidRPr="00E902FF" w:rsidRDefault="00DE1671" w:rsidP="006C68A8">
            <w:pPr>
              <w:ind w:left="-19"/>
              <w:rPr>
                <w:szCs w:val="22"/>
                <w:lang w:eastAsia="de-CH"/>
              </w:rPr>
            </w:pPr>
          </w:p>
          <w:p w14:paraId="4D28929B" w14:textId="77777777" w:rsidR="00DE1671" w:rsidRPr="00E902FF" w:rsidRDefault="00DE1671" w:rsidP="006C68A8">
            <w:pPr>
              <w:ind w:left="-19"/>
              <w:rPr>
                <w:szCs w:val="22"/>
                <w:lang w:eastAsia="de-CH"/>
              </w:rPr>
            </w:pPr>
          </w:p>
          <w:p w14:paraId="288D3321" w14:textId="77777777" w:rsidR="00DE1671" w:rsidRPr="00E902FF" w:rsidRDefault="00DE1671" w:rsidP="006C68A8">
            <w:pPr>
              <w:ind w:left="-19"/>
              <w:rPr>
                <w:szCs w:val="22"/>
                <w:lang w:eastAsia="de-CH"/>
              </w:rPr>
            </w:pPr>
          </w:p>
        </w:tc>
        <w:tc>
          <w:tcPr>
            <w:tcW w:w="2126" w:type="dxa"/>
            <w:tcBorders>
              <w:top w:val="single" w:sz="4" w:space="0" w:color="auto"/>
              <w:left w:val="nil"/>
              <w:bottom w:val="single" w:sz="4" w:space="0" w:color="auto"/>
              <w:right w:val="single" w:sz="4" w:space="0" w:color="auto"/>
            </w:tcBorders>
            <w:shd w:val="clear" w:color="auto" w:fill="auto"/>
            <w:noWrap/>
          </w:tcPr>
          <w:p w14:paraId="4BEF4544" w14:textId="77777777" w:rsidR="00DE1671" w:rsidRPr="00E902FF" w:rsidRDefault="00DE1671" w:rsidP="006C68A8">
            <w:pPr>
              <w:ind w:left="-19"/>
              <w:rPr>
                <w:szCs w:val="22"/>
                <w:lang w:eastAsia="de-CH"/>
              </w:rPr>
            </w:pPr>
            <w:r w:rsidRPr="00E902FF">
              <w:rPr>
                <w:szCs w:val="22"/>
                <w:lang w:eastAsia="de-CH"/>
              </w:rPr>
              <w:t>SB</w:t>
            </w:r>
          </w:p>
          <w:p w14:paraId="35411819" w14:textId="77777777" w:rsidR="00DE1671" w:rsidRPr="00E902FF" w:rsidRDefault="00DE1671" w:rsidP="006C68A8">
            <w:pPr>
              <w:ind w:left="-19"/>
              <w:rPr>
                <w:szCs w:val="22"/>
                <w:lang w:eastAsia="de-CH"/>
              </w:rPr>
            </w:pPr>
          </w:p>
          <w:p w14:paraId="1D463B1F" w14:textId="77777777" w:rsidR="00DE1671" w:rsidRPr="00E902FF" w:rsidRDefault="00DE1671" w:rsidP="006C68A8">
            <w:pPr>
              <w:ind w:left="-19"/>
              <w:rPr>
                <w:szCs w:val="22"/>
                <w:lang w:eastAsia="de-CH"/>
              </w:rPr>
            </w:pPr>
          </w:p>
          <w:p w14:paraId="2A56C50B" w14:textId="77777777" w:rsidR="00DE1671" w:rsidRPr="00E902FF" w:rsidRDefault="00DE1671" w:rsidP="006C68A8">
            <w:pPr>
              <w:ind w:left="-19"/>
              <w:rPr>
                <w:szCs w:val="22"/>
                <w:lang w:eastAsia="de-CH"/>
              </w:rPr>
            </w:pPr>
          </w:p>
        </w:tc>
        <w:tc>
          <w:tcPr>
            <w:tcW w:w="8013" w:type="dxa"/>
            <w:tcBorders>
              <w:top w:val="single" w:sz="4" w:space="0" w:color="auto"/>
              <w:left w:val="nil"/>
              <w:bottom w:val="single" w:sz="4" w:space="0" w:color="auto"/>
              <w:right w:val="single" w:sz="4" w:space="0" w:color="auto"/>
            </w:tcBorders>
            <w:shd w:val="clear" w:color="auto" w:fill="auto"/>
            <w:noWrap/>
          </w:tcPr>
          <w:p w14:paraId="5DD1F3FC" w14:textId="77777777" w:rsidR="00DE1671" w:rsidRPr="005E7796" w:rsidRDefault="00DE1671" w:rsidP="00DE1671">
            <w:pPr>
              <w:numPr>
                <w:ilvl w:val="0"/>
                <w:numId w:val="3"/>
              </w:numPr>
              <w:rPr>
                <w:szCs w:val="22"/>
                <w:lang w:eastAsia="de-CH"/>
              </w:rPr>
            </w:pPr>
            <w:r w:rsidRPr="00E902FF">
              <w:rPr>
                <w:szCs w:val="22"/>
                <w:lang w:eastAsia="de-CH"/>
              </w:rPr>
              <w:t>Liegt das Fälligkeitsdatum der Rechnung ausserhalb der Unterstützungsperiode</w:t>
            </w:r>
            <w:r>
              <w:rPr>
                <w:szCs w:val="22"/>
                <w:lang w:eastAsia="de-CH"/>
              </w:rPr>
              <w:t xml:space="preserve"> oder stellt bei neuen Fällen</w:t>
            </w:r>
            <w:r w:rsidRPr="008A1793">
              <w:rPr>
                <w:szCs w:val="22"/>
                <w:lang w:eastAsia="de-CH"/>
              </w:rPr>
              <w:t xml:space="preserve"> der Leistungserbringer die Rechnung nochmals</w:t>
            </w:r>
            <w:r>
              <w:rPr>
                <w:szCs w:val="22"/>
                <w:lang w:eastAsia="de-CH"/>
              </w:rPr>
              <w:t xml:space="preserve"> aus</w:t>
            </w:r>
            <w:r w:rsidRPr="008A1793">
              <w:rPr>
                <w:szCs w:val="22"/>
                <w:lang w:eastAsia="de-CH"/>
              </w:rPr>
              <w:t>, um bei den SOD das Geld einzuholen</w:t>
            </w:r>
            <w:r w:rsidRPr="00E902FF">
              <w:rPr>
                <w:szCs w:val="22"/>
                <w:lang w:eastAsia="de-CH"/>
              </w:rPr>
              <w:t>, wird die Rechnung nicht übernommen.</w:t>
            </w:r>
          </w:p>
          <w:p w14:paraId="5A8A0534" w14:textId="77777777" w:rsidR="00DE1671" w:rsidRPr="008A1793" w:rsidRDefault="00DE1671" w:rsidP="006C68A8">
            <w:pPr>
              <w:rPr>
                <w:szCs w:val="22"/>
                <w:lang w:eastAsia="de-CH"/>
              </w:rPr>
            </w:pPr>
          </w:p>
          <w:p w14:paraId="7BF682FD" w14:textId="77777777" w:rsidR="00DE1671" w:rsidRPr="008A1793" w:rsidRDefault="00DE1671" w:rsidP="00DE1671">
            <w:pPr>
              <w:numPr>
                <w:ilvl w:val="0"/>
                <w:numId w:val="3"/>
              </w:numPr>
              <w:rPr>
                <w:szCs w:val="22"/>
                <w:lang w:eastAsia="de-CH"/>
              </w:rPr>
            </w:pPr>
            <w:r w:rsidRPr="008A1793">
              <w:rPr>
                <w:szCs w:val="22"/>
                <w:lang w:eastAsia="de-CH"/>
              </w:rPr>
              <w:t>Mahnungen</w:t>
            </w:r>
            <w:r>
              <w:rPr>
                <w:szCs w:val="22"/>
                <w:lang w:eastAsia="de-CH"/>
              </w:rPr>
              <w:t>: Prüfen ob die Rechnung bereits bezahlt ist.</w:t>
            </w:r>
          </w:p>
          <w:p w14:paraId="3B0C21B7" w14:textId="77777777" w:rsidR="00DE1671" w:rsidRPr="008A1793" w:rsidRDefault="00DE1671" w:rsidP="006C68A8">
            <w:pPr>
              <w:rPr>
                <w:szCs w:val="22"/>
                <w:lang w:eastAsia="de-CH"/>
              </w:rPr>
            </w:pPr>
          </w:p>
          <w:p w14:paraId="5B76426B" w14:textId="77777777" w:rsidR="00DE1671" w:rsidRPr="008A1793" w:rsidRDefault="00DE1671" w:rsidP="00DE1671">
            <w:pPr>
              <w:numPr>
                <w:ilvl w:val="0"/>
                <w:numId w:val="3"/>
              </w:numPr>
              <w:rPr>
                <w:szCs w:val="22"/>
                <w:lang w:eastAsia="de-CH"/>
              </w:rPr>
            </w:pPr>
            <w:r w:rsidRPr="008A1793">
              <w:rPr>
                <w:szCs w:val="22"/>
                <w:lang w:eastAsia="de-CH"/>
              </w:rPr>
              <w:t>Die Rechnung med. Behandlungskosten wird auf versäumte Konsultationen und Arztzeugnisse geprüft. Diese beiden Positionen werden separat kontiert und bei Bedarf verrechnet. Nicht über die obligatorische Versicherung gedeckte Leistungen (z.B. Spitalbeitrag, NPL-Medikamente, Telefon-TV-Gebühren bei Spitalaufenthalt etc.) werden bei Bedarf anhand der Leistungsabrechnungen verrechnet.</w:t>
            </w:r>
          </w:p>
          <w:p w14:paraId="62DEF403" w14:textId="77777777" w:rsidR="00DE1671" w:rsidRPr="008A1793" w:rsidRDefault="00DE1671" w:rsidP="006C68A8">
            <w:pPr>
              <w:rPr>
                <w:szCs w:val="22"/>
                <w:lang w:eastAsia="de-CH"/>
              </w:rPr>
            </w:pPr>
          </w:p>
          <w:p w14:paraId="1E43FB92" w14:textId="77777777" w:rsidR="00DE1671" w:rsidRPr="008A1793" w:rsidRDefault="00DE1671" w:rsidP="00DE1671">
            <w:pPr>
              <w:numPr>
                <w:ilvl w:val="0"/>
                <w:numId w:val="3"/>
              </w:numPr>
              <w:rPr>
                <w:szCs w:val="22"/>
                <w:lang w:eastAsia="de-CH"/>
              </w:rPr>
            </w:pPr>
            <w:r w:rsidRPr="008A1793">
              <w:rPr>
                <w:b/>
                <w:szCs w:val="22"/>
                <w:lang w:eastAsia="de-CH"/>
              </w:rPr>
              <w:t xml:space="preserve">Wenn </w:t>
            </w:r>
            <w:r>
              <w:rPr>
                <w:b/>
                <w:szCs w:val="22"/>
                <w:lang w:eastAsia="de-CH"/>
              </w:rPr>
              <w:t xml:space="preserve">die </w:t>
            </w:r>
            <w:r w:rsidRPr="008A1793">
              <w:rPr>
                <w:b/>
                <w:szCs w:val="22"/>
                <w:lang w:eastAsia="de-CH"/>
              </w:rPr>
              <w:t>Rechnung med. Behandlungskosten durch die KK bezahlt wurde:</w:t>
            </w:r>
            <w:r w:rsidRPr="008A1793">
              <w:rPr>
                <w:szCs w:val="22"/>
                <w:lang w:eastAsia="de-CH"/>
              </w:rPr>
              <w:t xml:space="preserve"> Nicht über die obligatorische Versicherung gedeckte Leistungen</w:t>
            </w:r>
            <w:r w:rsidRPr="008A1793" w:rsidDel="00F54DD4">
              <w:rPr>
                <w:szCs w:val="22"/>
                <w:lang w:eastAsia="de-CH"/>
              </w:rPr>
              <w:t xml:space="preserve"> </w:t>
            </w:r>
            <w:r w:rsidRPr="008A1793">
              <w:rPr>
                <w:szCs w:val="22"/>
                <w:lang w:eastAsia="de-CH"/>
              </w:rPr>
              <w:t>(z.B. Spitalbeitrag, NPL-Medikamente, etc.) werden anhand der Leistungsabrechnungen separat kontiert und bei Bedarf verrechnet.</w:t>
            </w:r>
            <w:r>
              <w:rPr>
                <w:szCs w:val="22"/>
                <w:lang w:eastAsia="de-CH"/>
              </w:rPr>
              <w:t xml:space="preserve"> Nebenkosten (z.B.</w:t>
            </w:r>
            <w:r w:rsidRPr="008A1793">
              <w:rPr>
                <w:szCs w:val="22"/>
                <w:lang w:eastAsia="de-CH"/>
              </w:rPr>
              <w:t xml:space="preserve"> Telefon-TV-Gebühren bei Spitalaufenthalt</w:t>
            </w:r>
            <w:r>
              <w:rPr>
                <w:szCs w:val="22"/>
                <w:lang w:eastAsia="de-CH"/>
              </w:rPr>
              <w:t>) werden dem Klienten verrechnet.</w:t>
            </w:r>
          </w:p>
          <w:p w14:paraId="3116D9C5" w14:textId="77777777" w:rsidR="00DE1671" w:rsidRPr="008A1793" w:rsidRDefault="00DE1671" w:rsidP="006C68A8">
            <w:pPr>
              <w:rPr>
                <w:szCs w:val="22"/>
                <w:lang w:eastAsia="de-CH"/>
              </w:rPr>
            </w:pPr>
          </w:p>
          <w:p w14:paraId="54AD2A37" w14:textId="77777777" w:rsidR="00DE1671" w:rsidRDefault="00DE1671" w:rsidP="00DE1671">
            <w:pPr>
              <w:numPr>
                <w:ilvl w:val="0"/>
                <w:numId w:val="3"/>
              </w:numPr>
              <w:rPr>
                <w:szCs w:val="22"/>
                <w:lang w:eastAsia="de-CH"/>
              </w:rPr>
            </w:pPr>
            <w:r w:rsidRPr="008A1793">
              <w:rPr>
                <w:szCs w:val="22"/>
                <w:lang w:eastAsia="de-CH"/>
              </w:rPr>
              <w:t>Verordnungen (Spitex, Physiotherapie, Brillen für Kinder) werden de</w:t>
            </w:r>
            <w:r>
              <w:rPr>
                <w:szCs w:val="22"/>
                <w:lang w:eastAsia="de-CH"/>
              </w:rPr>
              <w:t>m Rückforderungsbeleg</w:t>
            </w:r>
            <w:r w:rsidRPr="008A1793">
              <w:rPr>
                <w:szCs w:val="22"/>
                <w:lang w:eastAsia="de-CH"/>
              </w:rPr>
              <w:t xml:space="preserve"> beigelegt.</w:t>
            </w:r>
          </w:p>
          <w:p w14:paraId="12395D0B" w14:textId="77777777" w:rsidR="00DE1671" w:rsidRDefault="00DE1671" w:rsidP="006C68A8">
            <w:pPr>
              <w:rPr>
                <w:szCs w:val="22"/>
                <w:lang w:eastAsia="de-CH"/>
              </w:rPr>
            </w:pPr>
          </w:p>
          <w:p w14:paraId="3DB33966" w14:textId="77777777" w:rsidR="00DE1671" w:rsidRDefault="00DE1671" w:rsidP="006C68A8">
            <w:pPr>
              <w:rPr>
                <w:szCs w:val="22"/>
                <w:lang w:eastAsia="de-CH"/>
              </w:rPr>
            </w:pPr>
          </w:p>
          <w:p w14:paraId="1FADE60F" w14:textId="77777777" w:rsidR="00DE1671" w:rsidRDefault="00DE1671" w:rsidP="006C68A8">
            <w:pPr>
              <w:rPr>
                <w:szCs w:val="22"/>
                <w:lang w:eastAsia="de-CH"/>
              </w:rPr>
            </w:pPr>
          </w:p>
          <w:p w14:paraId="6D5F856B" w14:textId="77777777" w:rsidR="00DE1671" w:rsidRPr="008A1793" w:rsidRDefault="00DE1671" w:rsidP="006C68A8">
            <w:pPr>
              <w:rPr>
                <w:szCs w:val="22"/>
                <w:lang w:eastAsia="de-CH"/>
              </w:rPr>
            </w:pPr>
          </w:p>
          <w:p w14:paraId="048E4E04" w14:textId="77777777" w:rsidR="00DE1671" w:rsidRPr="001219FE" w:rsidRDefault="00DE1671" w:rsidP="006C68A8">
            <w:pPr>
              <w:rPr>
                <w:szCs w:val="22"/>
                <w:lang w:eastAsia="de-CH"/>
              </w:rPr>
            </w:pPr>
            <w:r w:rsidRPr="001219FE">
              <w:rPr>
                <w:b/>
                <w:szCs w:val="22"/>
                <w:lang w:eastAsia="de-CH"/>
              </w:rPr>
              <w:t>Bitte beim Kontieren folgendes berücksichtigen:</w:t>
            </w:r>
          </w:p>
          <w:p w14:paraId="6253918B" w14:textId="77777777" w:rsidR="00DE1671" w:rsidRPr="001219FE" w:rsidRDefault="00DE1671" w:rsidP="006C68A8">
            <w:pPr>
              <w:rPr>
                <w:szCs w:val="22"/>
                <w:lang w:eastAsia="de-CH"/>
              </w:rPr>
            </w:pPr>
            <w:r w:rsidRPr="001219FE">
              <w:rPr>
                <w:szCs w:val="22"/>
                <w:lang w:eastAsia="de-CH"/>
              </w:rPr>
              <w:t>Verpasste Konsultationen werden auf die LA 110 gebucht und eine Verrechnung eingerichtet.</w:t>
            </w:r>
          </w:p>
          <w:p w14:paraId="3B037423" w14:textId="77777777" w:rsidR="00DE1671" w:rsidRPr="00384561" w:rsidRDefault="00DE1671" w:rsidP="006C68A8">
            <w:pPr>
              <w:rPr>
                <w:szCs w:val="22"/>
                <w:lang w:eastAsia="de-CH"/>
              </w:rPr>
            </w:pPr>
          </w:p>
          <w:p w14:paraId="0E8B391C" w14:textId="77777777" w:rsidR="00DE1671" w:rsidRDefault="00DE1671" w:rsidP="006C68A8">
            <w:pPr>
              <w:rPr>
                <w:b/>
                <w:szCs w:val="22"/>
                <w:lang w:eastAsia="de-CH"/>
              </w:rPr>
            </w:pPr>
          </w:p>
          <w:p w14:paraId="0E1AAB36" w14:textId="77777777" w:rsidR="00DE1671" w:rsidRDefault="00DE1671" w:rsidP="006C68A8">
            <w:pPr>
              <w:rPr>
                <w:b/>
                <w:szCs w:val="22"/>
                <w:lang w:eastAsia="de-CH"/>
              </w:rPr>
            </w:pPr>
          </w:p>
          <w:p w14:paraId="3026E766" w14:textId="77777777" w:rsidR="00DE1671" w:rsidRPr="00384561" w:rsidRDefault="00DE1671" w:rsidP="006C68A8">
            <w:pPr>
              <w:rPr>
                <w:b/>
                <w:szCs w:val="22"/>
                <w:lang w:eastAsia="de-CH"/>
              </w:rPr>
            </w:pPr>
            <w:r w:rsidRPr="00384561">
              <w:rPr>
                <w:b/>
                <w:szCs w:val="22"/>
                <w:lang w:eastAsia="de-CH"/>
              </w:rPr>
              <w:lastRenderedPageBreak/>
              <w:t>Spitalbeitrag:</w:t>
            </w:r>
          </w:p>
          <w:p w14:paraId="5F87F10B" w14:textId="77777777" w:rsidR="00DE1671" w:rsidRPr="00384561" w:rsidRDefault="00DE1671" w:rsidP="006C68A8">
            <w:pPr>
              <w:rPr>
                <w:szCs w:val="22"/>
                <w:lang w:eastAsia="de-CH"/>
              </w:rPr>
            </w:pPr>
          </w:p>
          <w:p w14:paraId="7D372DA6" w14:textId="77777777" w:rsidR="00DE1671" w:rsidRPr="00384561" w:rsidRDefault="00DE1671" w:rsidP="006C68A8">
            <w:pPr>
              <w:rPr>
                <w:color w:val="000000"/>
                <w:szCs w:val="22"/>
                <w:lang w:eastAsia="de-CH"/>
              </w:rPr>
            </w:pPr>
            <w:r w:rsidRPr="00384561">
              <w:rPr>
                <w:bCs/>
                <w:iCs/>
                <w:color w:val="000000"/>
                <w:szCs w:val="22"/>
                <w:lang w:eastAsia="de-CH"/>
              </w:rPr>
              <w:t>1-Personen-Haushalt:</w:t>
            </w:r>
          </w:p>
          <w:p w14:paraId="48DF46C5" w14:textId="19F08DF4" w:rsidR="00DE1671" w:rsidRPr="00384561" w:rsidRDefault="00DE1671" w:rsidP="006C68A8">
            <w:pPr>
              <w:rPr>
                <w:color w:val="000000"/>
                <w:szCs w:val="22"/>
                <w:lang w:eastAsia="de-CH"/>
              </w:rPr>
            </w:pPr>
            <w:r w:rsidRPr="00384561">
              <w:rPr>
                <w:color w:val="000000"/>
                <w:szCs w:val="22"/>
                <w:lang w:eastAsia="de-CH"/>
              </w:rPr>
              <w:t xml:space="preserve">Wird ein Grundbedarf gemäss SKOS </w:t>
            </w:r>
            <w:r w:rsidR="006C68A8" w:rsidRPr="00322413">
              <w:rPr>
                <w:color w:val="000000"/>
                <w:szCs w:val="22"/>
                <w:highlight w:val="yellow"/>
                <w:lang w:eastAsia="de-CH"/>
              </w:rPr>
              <w:t>C.3.1</w:t>
            </w:r>
            <w:r w:rsidR="006C68A8">
              <w:rPr>
                <w:color w:val="000000"/>
                <w:szCs w:val="22"/>
                <w:lang w:eastAsia="de-CH"/>
              </w:rPr>
              <w:t>.</w:t>
            </w:r>
            <w:r w:rsidRPr="00384561">
              <w:rPr>
                <w:color w:val="000000"/>
                <w:szCs w:val="22"/>
                <w:lang w:eastAsia="de-CH"/>
              </w:rPr>
              <w:t xml:space="preserve"> ausbezahlt, sind die Spitalbeiträge aus dem Grundbedarf zu decken. Wird jedoch ein GBL gemäss SKOS </w:t>
            </w:r>
            <w:r w:rsidR="006C68A8" w:rsidRPr="00322413">
              <w:rPr>
                <w:color w:val="000000"/>
                <w:szCs w:val="22"/>
                <w:highlight w:val="yellow"/>
                <w:lang w:eastAsia="de-CH"/>
              </w:rPr>
              <w:t>C.3.2.</w:t>
            </w:r>
            <w:r w:rsidRPr="00384561">
              <w:rPr>
                <w:color w:val="000000"/>
                <w:szCs w:val="22"/>
                <w:lang w:eastAsia="de-CH"/>
              </w:rPr>
              <w:t xml:space="preserve"> (Personen in stationären Einrichtungen) ausgerichtet, wird der Spitalbeitrag zusätzlich zur ordentlichen Unterstützung von der Sozialhilfe übernommen.</w:t>
            </w:r>
          </w:p>
          <w:p w14:paraId="38AACB02" w14:textId="77777777" w:rsidR="00DE1671" w:rsidRPr="00384561" w:rsidRDefault="00DE1671" w:rsidP="006C68A8">
            <w:pPr>
              <w:rPr>
                <w:color w:val="000000"/>
                <w:szCs w:val="22"/>
                <w:lang w:eastAsia="de-CH"/>
              </w:rPr>
            </w:pPr>
          </w:p>
          <w:p w14:paraId="0B3AE498" w14:textId="7440627E" w:rsidR="00DE1671" w:rsidRPr="00384561" w:rsidRDefault="00DE1671" w:rsidP="006C68A8">
            <w:pPr>
              <w:rPr>
                <w:color w:val="000000"/>
                <w:szCs w:val="22"/>
                <w:lang w:eastAsia="de-CH"/>
              </w:rPr>
            </w:pPr>
            <w:r w:rsidRPr="00384561">
              <w:rPr>
                <w:bCs/>
                <w:iCs/>
                <w:color w:val="000000"/>
                <w:szCs w:val="22"/>
                <w:lang w:eastAsia="de-CH"/>
              </w:rPr>
              <w:t>Mehr-Personen-Haushalte:</w:t>
            </w:r>
            <w:r w:rsidRPr="00384561">
              <w:rPr>
                <w:color w:val="000000"/>
                <w:szCs w:val="22"/>
                <w:lang w:eastAsia="de-CH"/>
              </w:rPr>
              <w:t xml:space="preserve"> </w:t>
            </w:r>
            <w:r w:rsidRPr="00384561">
              <w:rPr>
                <w:color w:val="000000"/>
                <w:szCs w:val="22"/>
                <w:lang w:eastAsia="de-CH"/>
              </w:rPr>
              <w:br/>
              <w:t xml:space="preserve">Ab einer Haushaltsgrösse von zwei Personen sind die Spitalbeiträge zusätzlich zur ordentlichen Unterstützung zu vergüten, auch wenn der Grundbedarf nach </w:t>
            </w:r>
            <w:r w:rsidR="006C68A8" w:rsidRPr="00322413">
              <w:rPr>
                <w:color w:val="000000"/>
                <w:szCs w:val="22"/>
                <w:highlight w:val="yellow"/>
                <w:lang w:eastAsia="de-CH"/>
              </w:rPr>
              <w:t>SKOS C.3.1.</w:t>
            </w:r>
            <w:r w:rsidRPr="00384561">
              <w:rPr>
                <w:color w:val="000000"/>
                <w:szCs w:val="22"/>
                <w:lang w:eastAsia="de-CH"/>
              </w:rPr>
              <w:t xml:space="preserve"> ausgerichtet worden ist.</w:t>
            </w:r>
          </w:p>
          <w:p w14:paraId="6D605F07" w14:textId="77777777" w:rsidR="00DE1671" w:rsidRPr="00384561" w:rsidRDefault="00DE1671" w:rsidP="006C68A8">
            <w:pPr>
              <w:rPr>
                <w:szCs w:val="22"/>
                <w:lang w:eastAsia="de-CH"/>
              </w:rPr>
            </w:pPr>
          </w:p>
          <w:p w14:paraId="252A7825" w14:textId="77777777" w:rsidR="00DE1671" w:rsidRPr="00384561" w:rsidRDefault="00DE1671" w:rsidP="006C68A8">
            <w:pPr>
              <w:pStyle w:val="Kommentartext"/>
              <w:rPr>
                <w:sz w:val="22"/>
                <w:szCs w:val="22"/>
              </w:rPr>
            </w:pPr>
            <w:r w:rsidRPr="00384561">
              <w:rPr>
                <w:sz w:val="22"/>
                <w:szCs w:val="22"/>
              </w:rPr>
              <w:t>Die Kosten für Arztzeugnisse werden grundsätzlich übernommen und auf LA 216 gebucht.</w:t>
            </w:r>
          </w:p>
          <w:p w14:paraId="694FECCB" w14:textId="77777777" w:rsidR="00DE1671" w:rsidRPr="00384561" w:rsidRDefault="00DE1671" w:rsidP="006C68A8">
            <w:pPr>
              <w:rPr>
                <w:szCs w:val="22"/>
                <w:lang w:eastAsia="de-CH"/>
              </w:rPr>
            </w:pPr>
          </w:p>
          <w:p w14:paraId="3A3C2148" w14:textId="77777777" w:rsidR="00DE1671" w:rsidRPr="00384561" w:rsidRDefault="00DE1671" w:rsidP="006C68A8">
            <w:pPr>
              <w:rPr>
                <w:szCs w:val="22"/>
                <w:lang w:eastAsia="de-CH"/>
              </w:rPr>
            </w:pPr>
            <w:r w:rsidRPr="00384561">
              <w:rPr>
                <w:szCs w:val="22"/>
                <w:lang w:eastAsia="de-CH"/>
              </w:rPr>
              <w:t>Spitalrechnungen: Persönliche Auslagen werden mit dem GBL verrechnet.</w:t>
            </w:r>
          </w:p>
          <w:p w14:paraId="2FD59276" w14:textId="77777777" w:rsidR="00DE1671" w:rsidRPr="00384561" w:rsidRDefault="00DE1671" w:rsidP="006C68A8">
            <w:pPr>
              <w:rPr>
                <w:szCs w:val="22"/>
                <w:lang w:eastAsia="de-CH"/>
              </w:rPr>
            </w:pPr>
          </w:p>
          <w:p w14:paraId="2F608166" w14:textId="77777777" w:rsidR="00DE1671" w:rsidRPr="00384561" w:rsidRDefault="00DE1671" w:rsidP="006C68A8">
            <w:pPr>
              <w:rPr>
                <w:szCs w:val="22"/>
                <w:lang w:eastAsia="de-CH"/>
              </w:rPr>
            </w:pPr>
            <w:r w:rsidRPr="00384561">
              <w:rPr>
                <w:szCs w:val="22"/>
                <w:lang w:eastAsia="de-CH"/>
              </w:rPr>
              <w:t>Sehhilfen für Erwachsene werden grundsätzlich auf LA 212 gebucht. Ausnahmen:</w:t>
            </w:r>
          </w:p>
          <w:p w14:paraId="2450F94D" w14:textId="77777777" w:rsidR="00DE1671" w:rsidRPr="00384561" w:rsidRDefault="00DE1671" w:rsidP="006C68A8">
            <w:pPr>
              <w:rPr>
                <w:szCs w:val="22"/>
                <w:lang w:eastAsia="de-CH"/>
              </w:rPr>
            </w:pPr>
          </w:p>
          <w:p w14:paraId="5178D13E" w14:textId="77777777" w:rsidR="00DE1671" w:rsidRDefault="00DE1671" w:rsidP="00DE1671">
            <w:pPr>
              <w:numPr>
                <w:ilvl w:val="0"/>
                <w:numId w:val="4"/>
              </w:numPr>
              <w:rPr>
                <w:szCs w:val="22"/>
                <w:lang w:eastAsia="de-CH"/>
              </w:rPr>
            </w:pPr>
            <w:r w:rsidRPr="0007510F">
              <w:rPr>
                <w:szCs w:val="22"/>
                <w:lang w:eastAsia="de-CH"/>
              </w:rPr>
              <w:t xml:space="preserve">Bezahlen die SOD die VVG-Prämien und übernehmen die KK-Administration </w:t>
            </w:r>
            <w:r w:rsidRPr="001219FE">
              <w:rPr>
                <w:szCs w:val="22"/>
                <w:lang w:eastAsia="de-CH"/>
              </w:rPr>
              <w:sym w:font="Wingdings" w:char="F0E0"/>
            </w:r>
            <w:r w:rsidRPr="0007510F">
              <w:rPr>
                <w:szCs w:val="22"/>
                <w:lang w:eastAsia="de-CH"/>
              </w:rPr>
              <w:t>LA 211</w:t>
            </w:r>
          </w:p>
          <w:p w14:paraId="2300224C" w14:textId="77777777" w:rsidR="00DE1671" w:rsidRDefault="00DE1671" w:rsidP="006C68A8">
            <w:pPr>
              <w:ind w:left="720"/>
              <w:rPr>
                <w:szCs w:val="22"/>
                <w:lang w:eastAsia="de-CH"/>
              </w:rPr>
            </w:pPr>
          </w:p>
          <w:p w14:paraId="5730913A" w14:textId="77777777" w:rsidR="00DE1671" w:rsidRPr="00895655" w:rsidRDefault="00DE1671" w:rsidP="00DE1671">
            <w:pPr>
              <w:numPr>
                <w:ilvl w:val="0"/>
                <w:numId w:val="4"/>
              </w:numPr>
              <w:rPr>
                <w:szCs w:val="22"/>
                <w:lang w:eastAsia="de-CH"/>
              </w:rPr>
            </w:pPr>
            <w:r w:rsidRPr="00B46B66">
              <w:rPr>
                <w:szCs w:val="22"/>
                <w:lang w:eastAsia="de-CH"/>
              </w:rPr>
              <w:t>Bei Kindern werden die Kosten für Brillengläser aus der Grundversicherung übernommen</w:t>
            </w:r>
            <w:r w:rsidRPr="00895655">
              <w:rPr>
                <w:szCs w:val="22"/>
                <w:lang w:eastAsia="de-CH"/>
              </w:rPr>
              <w:t xml:space="preserve"> (LA 150).</w:t>
            </w:r>
          </w:p>
          <w:p w14:paraId="7D40532E" w14:textId="77777777" w:rsidR="00DE1671" w:rsidRPr="008A1793" w:rsidRDefault="00DE1671" w:rsidP="006C68A8">
            <w:pPr>
              <w:rPr>
                <w:szCs w:val="22"/>
                <w:lang w:eastAsia="de-CH"/>
              </w:rPr>
            </w:pPr>
          </w:p>
          <w:p w14:paraId="27C4083E" w14:textId="77777777" w:rsidR="00DE1671" w:rsidRDefault="00DE1671" w:rsidP="006C68A8">
            <w:pPr>
              <w:rPr>
                <w:szCs w:val="22"/>
                <w:lang w:eastAsia="de-CH"/>
              </w:rPr>
            </w:pPr>
            <w:r w:rsidRPr="008A1793">
              <w:rPr>
                <w:szCs w:val="22"/>
                <w:lang w:eastAsia="de-CH"/>
              </w:rPr>
              <w:t>Spitex-Rechnungen</w:t>
            </w:r>
            <w:r>
              <w:rPr>
                <w:szCs w:val="22"/>
                <w:lang w:eastAsia="de-CH"/>
              </w:rPr>
              <w:t xml:space="preserve">: Die </w:t>
            </w:r>
            <w:r w:rsidRPr="008A1793">
              <w:rPr>
                <w:szCs w:val="22"/>
                <w:lang w:eastAsia="de-CH"/>
              </w:rPr>
              <w:t xml:space="preserve">kassenpflichtigen Leistungen </w:t>
            </w:r>
            <w:r>
              <w:rPr>
                <w:szCs w:val="22"/>
                <w:lang w:eastAsia="de-CH"/>
              </w:rPr>
              <w:t xml:space="preserve">werden im Normalfall direkt mit der Kasse abgerechnet und wir erhalten nur eine Rechnung mit NPL, diese </w:t>
            </w:r>
            <w:r w:rsidRPr="008A1793">
              <w:rPr>
                <w:szCs w:val="22"/>
                <w:lang w:eastAsia="de-CH"/>
              </w:rPr>
              <w:t xml:space="preserve">sind med. Spezialkosten (LA 215, LA 216 </w:t>
            </w:r>
            <w:r>
              <w:rPr>
                <w:szCs w:val="22"/>
                <w:lang w:eastAsia="de-CH"/>
              </w:rPr>
              <w:t>evtl.</w:t>
            </w:r>
            <w:r w:rsidRPr="00B629EB">
              <w:rPr>
                <w:szCs w:val="22"/>
                <w:lang w:eastAsia="de-CH"/>
              </w:rPr>
              <w:t xml:space="preserve"> LA 211, sofern VVG übernommen wird).</w:t>
            </w:r>
          </w:p>
          <w:p w14:paraId="267D082B" w14:textId="77777777" w:rsidR="00DE1671" w:rsidRDefault="00DE1671" w:rsidP="006C68A8">
            <w:pPr>
              <w:rPr>
                <w:szCs w:val="22"/>
                <w:lang w:eastAsia="de-CH"/>
              </w:rPr>
            </w:pPr>
          </w:p>
          <w:p w14:paraId="25AF24B4" w14:textId="77777777" w:rsidR="00DE1671" w:rsidRPr="00D163AE" w:rsidRDefault="00DE1671" w:rsidP="006C68A8">
            <w:pPr>
              <w:rPr>
                <w:szCs w:val="22"/>
                <w:lang w:eastAsia="de-CH"/>
              </w:rPr>
            </w:pPr>
          </w:p>
        </w:tc>
        <w:tc>
          <w:tcPr>
            <w:tcW w:w="1867" w:type="dxa"/>
            <w:tcBorders>
              <w:top w:val="single" w:sz="4" w:space="0" w:color="auto"/>
              <w:left w:val="nil"/>
              <w:bottom w:val="single" w:sz="4" w:space="0" w:color="auto"/>
              <w:right w:val="single" w:sz="8" w:space="0" w:color="auto"/>
            </w:tcBorders>
            <w:shd w:val="clear" w:color="auto" w:fill="auto"/>
            <w:noWrap/>
          </w:tcPr>
          <w:p w14:paraId="4B1FC104" w14:textId="77777777" w:rsidR="00DE1671" w:rsidRPr="005E7796" w:rsidRDefault="00DE1671" w:rsidP="006C68A8">
            <w:pPr>
              <w:rPr>
                <w:szCs w:val="22"/>
                <w:lang w:eastAsia="de-CH"/>
              </w:rPr>
            </w:pPr>
          </w:p>
        </w:tc>
      </w:tr>
    </w:tbl>
    <w:p w14:paraId="5B55B4F5" w14:textId="77777777" w:rsidR="00DE1671" w:rsidRDefault="00DE1671">
      <w:r>
        <w:br w:type="page"/>
      </w:r>
    </w:p>
    <w:tbl>
      <w:tblPr>
        <w:tblW w:w="14668" w:type="dxa"/>
        <w:tblInd w:w="-40" w:type="dxa"/>
        <w:tblLayout w:type="fixed"/>
        <w:tblCellMar>
          <w:left w:w="70" w:type="dxa"/>
          <w:right w:w="70" w:type="dxa"/>
        </w:tblCellMar>
        <w:tblLook w:val="0000" w:firstRow="0" w:lastRow="0" w:firstColumn="0" w:lastColumn="0" w:noHBand="0" w:noVBand="0"/>
      </w:tblPr>
      <w:tblGrid>
        <w:gridCol w:w="676"/>
        <w:gridCol w:w="1986"/>
        <w:gridCol w:w="2126"/>
        <w:gridCol w:w="8013"/>
        <w:gridCol w:w="1867"/>
      </w:tblGrid>
      <w:tr w:rsidR="00DE1671" w:rsidRPr="008A1793" w14:paraId="289416EE" w14:textId="77777777" w:rsidTr="00DE1671">
        <w:trPr>
          <w:trHeight w:val="484"/>
        </w:trPr>
        <w:tc>
          <w:tcPr>
            <w:tcW w:w="676" w:type="dxa"/>
            <w:tcBorders>
              <w:top w:val="single" w:sz="4" w:space="0" w:color="auto"/>
              <w:left w:val="single" w:sz="8" w:space="0" w:color="auto"/>
              <w:bottom w:val="single" w:sz="4" w:space="0" w:color="auto"/>
              <w:right w:val="single" w:sz="4" w:space="0" w:color="auto"/>
            </w:tcBorders>
            <w:shd w:val="clear" w:color="auto" w:fill="auto"/>
            <w:noWrap/>
          </w:tcPr>
          <w:p w14:paraId="020C1059" w14:textId="77777777" w:rsidR="00DE1671" w:rsidRPr="00E902FF" w:rsidRDefault="00DE1671" w:rsidP="00DE1671">
            <w:pPr>
              <w:ind w:firstLineChars="118" w:firstLine="260"/>
              <w:rPr>
                <w:b/>
                <w:szCs w:val="22"/>
                <w:lang w:eastAsia="de-CH"/>
              </w:rPr>
            </w:pPr>
            <w:r>
              <w:rPr>
                <w:b/>
                <w:szCs w:val="22"/>
                <w:lang w:eastAsia="de-CH"/>
              </w:rPr>
              <w:lastRenderedPageBreak/>
              <w:t>2</w:t>
            </w:r>
          </w:p>
        </w:tc>
        <w:tc>
          <w:tcPr>
            <w:tcW w:w="1986" w:type="dxa"/>
            <w:tcBorders>
              <w:top w:val="single" w:sz="4" w:space="0" w:color="auto"/>
              <w:left w:val="nil"/>
              <w:bottom w:val="single" w:sz="4" w:space="0" w:color="auto"/>
              <w:right w:val="single" w:sz="4" w:space="0" w:color="auto"/>
            </w:tcBorders>
            <w:shd w:val="clear" w:color="auto" w:fill="auto"/>
            <w:noWrap/>
          </w:tcPr>
          <w:p w14:paraId="23DBC4AE" w14:textId="77777777" w:rsidR="00DE1671" w:rsidRPr="00314443" w:rsidRDefault="00DE1671" w:rsidP="006C68A8">
            <w:pPr>
              <w:rPr>
                <w:szCs w:val="22"/>
                <w:lang w:eastAsia="de-CH"/>
              </w:rPr>
            </w:pPr>
            <w:r w:rsidRPr="00B629EB">
              <w:rPr>
                <w:b/>
                <w:szCs w:val="22"/>
                <w:lang w:eastAsia="de-CH"/>
              </w:rPr>
              <w:t>Rechnung</w:t>
            </w:r>
            <w:r>
              <w:rPr>
                <w:b/>
                <w:szCs w:val="22"/>
                <w:lang w:eastAsia="de-CH"/>
              </w:rPr>
              <w:t xml:space="preserve"> </w:t>
            </w:r>
            <w:r w:rsidRPr="0042439A">
              <w:rPr>
                <w:b/>
                <w:szCs w:val="22"/>
                <w:lang w:eastAsia="de-CH"/>
              </w:rPr>
              <w:t>kontieren und KK-Stempel auf Rückforderungs</w:t>
            </w:r>
            <w:r>
              <w:rPr>
                <w:b/>
                <w:szCs w:val="22"/>
                <w:lang w:eastAsia="de-CH"/>
              </w:rPr>
              <w:t>-</w:t>
            </w:r>
            <w:r w:rsidRPr="0042439A">
              <w:rPr>
                <w:b/>
                <w:szCs w:val="22"/>
                <w:lang w:eastAsia="de-CH"/>
              </w:rPr>
              <w:t>beleg setzen</w:t>
            </w:r>
          </w:p>
          <w:p w14:paraId="41151058" w14:textId="77777777" w:rsidR="00DE1671" w:rsidRPr="00B629EB" w:rsidRDefault="00DE1671" w:rsidP="006C68A8">
            <w:pPr>
              <w:rPr>
                <w:b/>
                <w:szCs w:val="22"/>
                <w:lang w:eastAsia="de-CH"/>
              </w:rPr>
            </w:pPr>
          </w:p>
          <w:p w14:paraId="6020D53C" w14:textId="77777777" w:rsidR="00DE1671" w:rsidRPr="005E7796" w:rsidRDefault="00DE1671" w:rsidP="006C68A8">
            <w:pPr>
              <w:rPr>
                <w:b/>
                <w:szCs w:val="22"/>
                <w:lang w:eastAsia="de-CH"/>
              </w:rPr>
            </w:pPr>
          </w:p>
        </w:tc>
        <w:tc>
          <w:tcPr>
            <w:tcW w:w="2126" w:type="dxa"/>
            <w:tcBorders>
              <w:top w:val="single" w:sz="4" w:space="0" w:color="auto"/>
              <w:left w:val="nil"/>
              <w:bottom w:val="single" w:sz="4" w:space="0" w:color="auto"/>
              <w:right w:val="single" w:sz="4" w:space="0" w:color="auto"/>
            </w:tcBorders>
            <w:shd w:val="clear" w:color="auto" w:fill="auto"/>
            <w:noWrap/>
          </w:tcPr>
          <w:p w14:paraId="66A153C2" w14:textId="77777777" w:rsidR="00DE1671" w:rsidRPr="008A1793" w:rsidRDefault="00DE1671" w:rsidP="006C68A8">
            <w:pPr>
              <w:rPr>
                <w:szCs w:val="22"/>
                <w:lang w:eastAsia="de-CH"/>
              </w:rPr>
            </w:pPr>
            <w:r w:rsidRPr="005E7796">
              <w:rPr>
                <w:szCs w:val="22"/>
                <w:lang w:eastAsia="de-CH"/>
              </w:rPr>
              <w:t>SA</w:t>
            </w:r>
          </w:p>
          <w:p w14:paraId="56172812" w14:textId="77777777" w:rsidR="00DE1671" w:rsidRPr="008A1793" w:rsidRDefault="00DE1671" w:rsidP="006C68A8">
            <w:pPr>
              <w:rPr>
                <w:szCs w:val="22"/>
                <w:lang w:eastAsia="de-CH"/>
              </w:rPr>
            </w:pPr>
            <w:r>
              <w:rPr>
                <w:szCs w:val="22"/>
                <w:lang w:eastAsia="de-CH"/>
              </w:rPr>
              <w:t>SB</w:t>
            </w:r>
          </w:p>
          <w:p w14:paraId="51691846" w14:textId="77777777" w:rsidR="00DE1671" w:rsidRPr="008A1793" w:rsidRDefault="00DE1671" w:rsidP="006C68A8">
            <w:pPr>
              <w:rPr>
                <w:szCs w:val="22"/>
                <w:lang w:eastAsia="de-CH"/>
              </w:rPr>
            </w:pPr>
          </w:p>
        </w:tc>
        <w:tc>
          <w:tcPr>
            <w:tcW w:w="8013" w:type="dxa"/>
            <w:tcBorders>
              <w:top w:val="single" w:sz="4" w:space="0" w:color="auto"/>
              <w:left w:val="nil"/>
              <w:bottom w:val="single" w:sz="4" w:space="0" w:color="auto"/>
              <w:right w:val="single" w:sz="4" w:space="0" w:color="auto"/>
            </w:tcBorders>
            <w:shd w:val="clear" w:color="auto" w:fill="auto"/>
            <w:noWrap/>
          </w:tcPr>
          <w:p w14:paraId="47D5182F" w14:textId="77777777" w:rsidR="00DE1671" w:rsidRPr="00701EC1" w:rsidRDefault="00DE1671" w:rsidP="006C68A8">
            <w:pPr>
              <w:rPr>
                <w:szCs w:val="22"/>
                <w:lang w:eastAsia="de-CH"/>
              </w:rPr>
            </w:pPr>
            <w:r w:rsidRPr="00701EC1">
              <w:rPr>
                <w:szCs w:val="22"/>
                <w:lang w:eastAsia="de-CH"/>
              </w:rPr>
              <w:t>SB versieht Rechnung mit Kontierungsstempel W + K.</w:t>
            </w:r>
          </w:p>
          <w:p w14:paraId="550DAC59" w14:textId="77777777" w:rsidR="00DE1671" w:rsidRPr="00701EC1" w:rsidRDefault="00DE1671" w:rsidP="006C68A8">
            <w:pPr>
              <w:rPr>
                <w:szCs w:val="22"/>
                <w:lang w:eastAsia="de-CH"/>
              </w:rPr>
            </w:pPr>
          </w:p>
          <w:p w14:paraId="0899B40B" w14:textId="77777777" w:rsidR="00DE1671" w:rsidRPr="00701EC1" w:rsidRDefault="00DE1671" w:rsidP="006C68A8">
            <w:pPr>
              <w:rPr>
                <w:szCs w:val="22"/>
                <w:lang w:eastAsia="de-CH"/>
              </w:rPr>
            </w:pPr>
            <w:r w:rsidRPr="00701EC1">
              <w:rPr>
                <w:szCs w:val="22"/>
                <w:lang w:eastAsia="de-CH"/>
              </w:rPr>
              <w:t>SA kontiert Rechnung med. Behandlungskosten</w:t>
            </w:r>
            <w:r>
              <w:rPr>
                <w:szCs w:val="22"/>
                <w:lang w:eastAsia="de-CH"/>
              </w:rPr>
              <w:t>.</w:t>
            </w:r>
          </w:p>
          <w:p w14:paraId="0B9CB815" w14:textId="77777777" w:rsidR="00DE1671" w:rsidRPr="00701EC1" w:rsidRDefault="00DE1671" w:rsidP="006C68A8">
            <w:pPr>
              <w:rPr>
                <w:szCs w:val="22"/>
                <w:lang w:eastAsia="de-CH"/>
              </w:rPr>
            </w:pPr>
          </w:p>
          <w:p w14:paraId="164EA5F1" w14:textId="77777777" w:rsidR="00DE1671" w:rsidRPr="00701EC1" w:rsidRDefault="00DE1671" w:rsidP="006C68A8">
            <w:pPr>
              <w:rPr>
                <w:szCs w:val="22"/>
                <w:lang w:eastAsia="de-CH"/>
              </w:rPr>
            </w:pPr>
            <w:r w:rsidRPr="00701EC1">
              <w:rPr>
                <w:szCs w:val="22"/>
                <w:lang w:eastAsia="de-CH"/>
              </w:rPr>
              <w:t>SB versieht Rückforderungsbeleg mit KK-Stempel.</w:t>
            </w:r>
          </w:p>
          <w:p w14:paraId="6240DDC0" w14:textId="77777777" w:rsidR="00DE1671" w:rsidRPr="00701EC1" w:rsidRDefault="00DE1671" w:rsidP="006C68A8">
            <w:pPr>
              <w:rPr>
                <w:szCs w:val="22"/>
                <w:lang w:eastAsia="de-CH"/>
              </w:rPr>
            </w:pPr>
          </w:p>
          <w:p w14:paraId="6D87E85D" w14:textId="77777777" w:rsidR="00DE1671" w:rsidRDefault="00DE1671" w:rsidP="006C68A8">
            <w:pPr>
              <w:rPr>
                <w:szCs w:val="22"/>
                <w:lang w:val="fr-CH"/>
              </w:rPr>
            </w:pPr>
            <w:r w:rsidRPr="00701EC1">
              <w:rPr>
                <w:szCs w:val="22"/>
                <w:lang w:eastAsia="de-CH"/>
              </w:rPr>
              <w:t>SB sendet Rechnung med. Behandlungskosten und Rückforderungsbeleg an SDS Finanzen zur Zahlung</w:t>
            </w:r>
          </w:p>
          <w:p w14:paraId="11EA1AEB" w14:textId="77777777" w:rsidR="00DE1671" w:rsidRDefault="00DE1671" w:rsidP="006C68A8">
            <w:pPr>
              <w:rPr>
                <w:szCs w:val="22"/>
                <w:lang w:val="fr-CH"/>
              </w:rPr>
            </w:pPr>
          </w:p>
          <w:p w14:paraId="5D1768D5" w14:textId="77777777" w:rsidR="00DE1671" w:rsidRPr="00701EC1" w:rsidRDefault="00DE1671" w:rsidP="006C68A8">
            <w:pPr>
              <w:rPr>
                <w:szCs w:val="22"/>
                <w:lang w:val="fr-CH"/>
              </w:rPr>
            </w:pPr>
          </w:p>
        </w:tc>
        <w:tc>
          <w:tcPr>
            <w:tcW w:w="1867" w:type="dxa"/>
            <w:tcBorders>
              <w:top w:val="single" w:sz="4" w:space="0" w:color="auto"/>
              <w:left w:val="nil"/>
              <w:bottom w:val="single" w:sz="4" w:space="0" w:color="auto"/>
              <w:right w:val="single" w:sz="8" w:space="0" w:color="auto"/>
            </w:tcBorders>
            <w:shd w:val="clear" w:color="auto" w:fill="auto"/>
            <w:noWrap/>
          </w:tcPr>
          <w:p w14:paraId="661DADCF" w14:textId="77777777" w:rsidR="00DE1671" w:rsidRDefault="00DE1671" w:rsidP="006C68A8">
            <w:pPr>
              <w:rPr>
                <w:szCs w:val="22"/>
                <w:lang w:eastAsia="de-CH"/>
              </w:rPr>
            </w:pPr>
            <w:r w:rsidRPr="008A3762">
              <w:rPr>
                <w:szCs w:val="22"/>
                <w:lang w:eastAsia="de-CH"/>
              </w:rPr>
              <w:t>Kontierungs-stempel W + K.</w:t>
            </w:r>
          </w:p>
          <w:p w14:paraId="1BA1D6C3" w14:textId="77777777" w:rsidR="00DE1671" w:rsidRDefault="00DE1671" w:rsidP="006C68A8">
            <w:pPr>
              <w:rPr>
                <w:szCs w:val="22"/>
                <w:lang w:eastAsia="de-CH"/>
              </w:rPr>
            </w:pPr>
          </w:p>
          <w:p w14:paraId="2AB8B448" w14:textId="77777777" w:rsidR="00DE1671" w:rsidRDefault="00DE1671" w:rsidP="006C68A8">
            <w:pPr>
              <w:rPr>
                <w:szCs w:val="22"/>
                <w:lang w:eastAsia="de-CH"/>
              </w:rPr>
            </w:pPr>
          </w:p>
          <w:p w14:paraId="0AE905E7" w14:textId="77777777" w:rsidR="00DE1671" w:rsidRPr="008A1793" w:rsidRDefault="00DE1671" w:rsidP="006C68A8">
            <w:pPr>
              <w:rPr>
                <w:szCs w:val="22"/>
                <w:lang w:eastAsia="de-CH"/>
              </w:rPr>
            </w:pPr>
            <w:r>
              <w:rPr>
                <w:szCs w:val="22"/>
                <w:lang w:eastAsia="de-CH"/>
              </w:rPr>
              <w:t>KK-Stempel</w:t>
            </w:r>
          </w:p>
        </w:tc>
      </w:tr>
      <w:tr w:rsidR="00DE1671" w:rsidRPr="008A1793" w14:paraId="316765C6" w14:textId="77777777" w:rsidTr="00DE1671">
        <w:trPr>
          <w:trHeight w:val="484"/>
        </w:trPr>
        <w:tc>
          <w:tcPr>
            <w:tcW w:w="676" w:type="dxa"/>
            <w:tcBorders>
              <w:top w:val="nil"/>
              <w:left w:val="single" w:sz="8" w:space="0" w:color="auto"/>
              <w:bottom w:val="single" w:sz="4" w:space="0" w:color="auto"/>
              <w:right w:val="single" w:sz="4" w:space="0" w:color="auto"/>
            </w:tcBorders>
            <w:shd w:val="clear" w:color="auto" w:fill="auto"/>
            <w:noWrap/>
          </w:tcPr>
          <w:p w14:paraId="54408226" w14:textId="77777777" w:rsidR="00DE1671" w:rsidRDefault="00DE1671" w:rsidP="00DE1671">
            <w:pPr>
              <w:ind w:firstLineChars="118" w:firstLine="260"/>
              <w:rPr>
                <w:b/>
                <w:szCs w:val="22"/>
                <w:lang w:eastAsia="de-CH"/>
              </w:rPr>
            </w:pPr>
            <w:r>
              <w:rPr>
                <w:b/>
                <w:szCs w:val="22"/>
                <w:lang w:eastAsia="de-CH"/>
              </w:rPr>
              <w:t>3</w:t>
            </w:r>
          </w:p>
        </w:tc>
        <w:tc>
          <w:tcPr>
            <w:tcW w:w="1986" w:type="dxa"/>
            <w:tcBorders>
              <w:top w:val="nil"/>
              <w:left w:val="nil"/>
              <w:bottom w:val="single" w:sz="4" w:space="0" w:color="auto"/>
              <w:right w:val="single" w:sz="4" w:space="0" w:color="auto"/>
            </w:tcBorders>
            <w:shd w:val="clear" w:color="auto" w:fill="auto"/>
            <w:noWrap/>
          </w:tcPr>
          <w:p w14:paraId="49CDD5E7" w14:textId="77777777" w:rsidR="00DE1671" w:rsidRPr="00B629EB" w:rsidRDefault="00DE1671" w:rsidP="006C68A8">
            <w:pPr>
              <w:rPr>
                <w:b/>
                <w:szCs w:val="22"/>
                <w:lang w:eastAsia="de-CH"/>
              </w:rPr>
            </w:pPr>
            <w:r w:rsidRPr="00314443">
              <w:rPr>
                <w:b/>
                <w:szCs w:val="22"/>
                <w:lang w:eastAsia="de-CH"/>
              </w:rPr>
              <w:t>Rechnung</w:t>
            </w:r>
            <w:r>
              <w:rPr>
                <w:b/>
                <w:szCs w:val="22"/>
                <w:lang w:eastAsia="de-CH"/>
              </w:rPr>
              <w:t xml:space="preserve"> </w:t>
            </w:r>
            <w:r w:rsidRPr="00314443">
              <w:rPr>
                <w:b/>
                <w:szCs w:val="22"/>
                <w:lang w:eastAsia="de-CH"/>
              </w:rPr>
              <w:t>buchen und</w:t>
            </w:r>
            <w:r>
              <w:rPr>
                <w:b/>
                <w:szCs w:val="22"/>
                <w:lang w:eastAsia="de-CH"/>
              </w:rPr>
              <w:t xml:space="preserve"> </w:t>
            </w:r>
            <w:r w:rsidRPr="00314443">
              <w:rPr>
                <w:b/>
                <w:szCs w:val="22"/>
                <w:lang w:eastAsia="de-CH"/>
              </w:rPr>
              <w:t>zahlen</w:t>
            </w:r>
          </w:p>
        </w:tc>
        <w:tc>
          <w:tcPr>
            <w:tcW w:w="2126" w:type="dxa"/>
            <w:tcBorders>
              <w:top w:val="nil"/>
              <w:left w:val="nil"/>
              <w:bottom w:val="single" w:sz="4" w:space="0" w:color="auto"/>
              <w:right w:val="single" w:sz="4" w:space="0" w:color="auto"/>
            </w:tcBorders>
            <w:shd w:val="clear" w:color="auto" w:fill="auto"/>
            <w:noWrap/>
          </w:tcPr>
          <w:p w14:paraId="7893E08C" w14:textId="77777777" w:rsidR="00DE1671" w:rsidRPr="005E7796" w:rsidRDefault="00DE1671" w:rsidP="006C68A8">
            <w:pPr>
              <w:rPr>
                <w:szCs w:val="22"/>
                <w:lang w:eastAsia="de-CH"/>
              </w:rPr>
            </w:pPr>
            <w:r>
              <w:rPr>
                <w:szCs w:val="22"/>
                <w:lang w:eastAsia="de-CH"/>
              </w:rPr>
              <w:t>SDS Finanzen</w:t>
            </w:r>
          </w:p>
        </w:tc>
        <w:tc>
          <w:tcPr>
            <w:tcW w:w="8013" w:type="dxa"/>
            <w:tcBorders>
              <w:top w:val="nil"/>
              <w:left w:val="nil"/>
              <w:bottom w:val="single" w:sz="4" w:space="0" w:color="auto"/>
              <w:right w:val="single" w:sz="4" w:space="0" w:color="auto"/>
            </w:tcBorders>
            <w:shd w:val="clear" w:color="auto" w:fill="auto"/>
            <w:noWrap/>
          </w:tcPr>
          <w:p w14:paraId="5C1A4EB2" w14:textId="77777777" w:rsidR="00DE1671" w:rsidRPr="00701EC1" w:rsidRDefault="00DE1671" w:rsidP="006C68A8">
            <w:pPr>
              <w:rPr>
                <w:szCs w:val="22"/>
                <w:lang w:eastAsia="de-CH"/>
              </w:rPr>
            </w:pPr>
            <w:r w:rsidRPr="00701EC1">
              <w:rPr>
                <w:szCs w:val="22"/>
                <w:lang w:eastAsia="de-CH"/>
              </w:rPr>
              <w:t>Regulär: SDS Finanzen bezahlt die med. Behandlungskosten und im KISS wird automatisch eine Sollstellung (LA 150 - LA 751 / LA 151 – LA 752) für die zu erwartende Rückerstattung generiert. Die SDS Finanzen scannen die Rechnung med. Behandlungskosten inkl. Rückforderungsbeleg zum Zahlungsausgang ein.</w:t>
            </w:r>
          </w:p>
          <w:p w14:paraId="7849FBF8" w14:textId="77777777" w:rsidR="00DE1671" w:rsidRDefault="00DE1671" w:rsidP="006C68A8">
            <w:pPr>
              <w:rPr>
                <w:szCs w:val="22"/>
                <w:lang w:eastAsia="de-CH"/>
              </w:rPr>
            </w:pPr>
            <w:r w:rsidRPr="00701EC1">
              <w:rPr>
                <w:szCs w:val="22"/>
                <w:lang w:eastAsia="de-CH"/>
              </w:rPr>
              <w:t>Ausnahme: In begründeten Fällen wird der Rückforderungsbeleg von den SOD direkt an die KK eingereicht und erst</w:t>
            </w:r>
            <w:r>
              <w:rPr>
                <w:szCs w:val="22"/>
                <w:lang w:eastAsia="de-CH"/>
              </w:rPr>
              <w:t>,</w:t>
            </w:r>
            <w:r w:rsidRPr="00701EC1">
              <w:rPr>
                <w:szCs w:val="22"/>
                <w:lang w:eastAsia="de-CH"/>
              </w:rPr>
              <w:t xml:space="preserve"> wenn die med. Behandlungskosten zurückerstattet wurden, werden sie bezahlt.</w:t>
            </w:r>
          </w:p>
          <w:p w14:paraId="49545C38" w14:textId="77777777" w:rsidR="00DE1671" w:rsidRPr="00D51BD6" w:rsidRDefault="00DE1671" w:rsidP="006C68A8">
            <w:pPr>
              <w:rPr>
                <w:szCs w:val="22"/>
              </w:rPr>
            </w:pPr>
          </w:p>
          <w:p w14:paraId="4462A563" w14:textId="77777777" w:rsidR="00DE1671" w:rsidRDefault="00DE1671" w:rsidP="006C68A8">
            <w:pPr>
              <w:rPr>
                <w:szCs w:val="22"/>
                <w:lang w:val="fr-CH"/>
              </w:rPr>
            </w:pPr>
          </w:p>
        </w:tc>
        <w:tc>
          <w:tcPr>
            <w:tcW w:w="1867" w:type="dxa"/>
            <w:tcBorders>
              <w:top w:val="nil"/>
              <w:left w:val="nil"/>
              <w:bottom w:val="single" w:sz="4" w:space="0" w:color="auto"/>
              <w:right w:val="single" w:sz="8" w:space="0" w:color="auto"/>
            </w:tcBorders>
            <w:shd w:val="clear" w:color="auto" w:fill="auto"/>
            <w:noWrap/>
          </w:tcPr>
          <w:p w14:paraId="176FA707" w14:textId="77777777" w:rsidR="00DE1671" w:rsidRPr="008A3762" w:rsidRDefault="00DE1671" w:rsidP="006C68A8">
            <w:pPr>
              <w:rPr>
                <w:szCs w:val="22"/>
                <w:lang w:eastAsia="de-CH"/>
              </w:rPr>
            </w:pPr>
          </w:p>
        </w:tc>
      </w:tr>
      <w:tr w:rsidR="00DE1671" w:rsidRPr="008A1793" w14:paraId="610B6494" w14:textId="77777777" w:rsidTr="00DE1671">
        <w:trPr>
          <w:trHeight w:val="484"/>
        </w:trPr>
        <w:tc>
          <w:tcPr>
            <w:tcW w:w="676" w:type="dxa"/>
            <w:tcBorders>
              <w:top w:val="nil"/>
              <w:left w:val="single" w:sz="8" w:space="0" w:color="auto"/>
              <w:bottom w:val="single" w:sz="4" w:space="0" w:color="auto"/>
              <w:right w:val="single" w:sz="4" w:space="0" w:color="auto"/>
            </w:tcBorders>
            <w:shd w:val="clear" w:color="auto" w:fill="auto"/>
            <w:noWrap/>
          </w:tcPr>
          <w:p w14:paraId="66B8398A" w14:textId="77777777" w:rsidR="00DE1671" w:rsidRDefault="00DE1671" w:rsidP="00DE1671">
            <w:pPr>
              <w:ind w:firstLineChars="118" w:firstLine="260"/>
              <w:rPr>
                <w:b/>
                <w:szCs w:val="22"/>
                <w:lang w:eastAsia="de-CH"/>
              </w:rPr>
            </w:pPr>
            <w:r>
              <w:rPr>
                <w:b/>
                <w:szCs w:val="22"/>
                <w:lang w:eastAsia="de-CH"/>
              </w:rPr>
              <w:t>4</w:t>
            </w:r>
          </w:p>
        </w:tc>
        <w:tc>
          <w:tcPr>
            <w:tcW w:w="1986" w:type="dxa"/>
            <w:tcBorders>
              <w:top w:val="nil"/>
              <w:left w:val="nil"/>
              <w:bottom w:val="single" w:sz="4" w:space="0" w:color="auto"/>
              <w:right w:val="single" w:sz="4" w:space="0" w:color="auto"/>
            </w:tcBorders>
            <w:shd w:val="clear" w:color="auto" w:fill="auto"/>
            <w:noWrap/>
          </w:tcPr>
          <w:p w14:paraId="44845074" w14:textId="77777777" w:rsidR="00DE1671" w:rsidRDefault="00DE1671" w:rsidP="006C68A8">
            <w:pPr>
              <w:rPr>
                <w:b/>
                <w:szCs w:val="22"/>
                <w:lang w:eastAsia="de-CH"/>
              </w:rPr>
            </w:pPr>
            <w:r w:rsidRPr="0042439A">
              <w:rPr>
                <w:b/>
                <w:szCs w:val="22"/>
                <w:lang w:eastAsia="de-CH"/>
              </w:rPr>
              <w:t>Rückforderungs</w:t>
            </w:r>
            <w:r>
              <w:rPr>
                <w:b/>
                <w:szCs w:val="22"/>
                <w:lang w:eastAsia="de-CH"/>
              </w:rPr>
              <w:t>-</w:t>
            </w:r>
            <w:r w:rsidRPr="0042439A">
              <w:rPr>
                <w:b/>
                <w:szCs w:val="22"/>
                <w:lang w:eastAsia="de-CH"/>
              </w:rPr>
              <w:t>beleg an KK senden</w:t>
            </w:r>
          </w:p>
          <w:p w14:paraId="230F4C82" w14:textId="77777777" w:rsidR="00DE1671" w:rsidRDefault="00DE1671" w:rsidP="006C68A8">
            <w:pPr>
              <w:rPr>
                <w:b/>
                <w:szCs w:val="22"/>
                <w:lang w:eastAsia="de-CH"/>
              </w:rPr>
            </w:pPr>
          </w:p>
          <w:p w14:paraId="1CF6CCF4" w14:textId="77777777" w:rsidR="00DE1671" w:rsidRDefault="00DE1671" w:rsidP="006C68A8">
            <w:pPr>
              <w:rPr>
                <w:b/>
                <w:szCs w:val="22"/>
                <w:lang w:eastAsia="de-CH"/>
              </w:rPr>
            </w:pPr>
          </w:p>
          <w:p w14:paraId="4321692F" w14:textId="77777777" w:rsidR="00DE1671" w:rsidRPr="0042439A" w:rsidRDefault="00DE1671" w:rsidP="006C68A8">
            <w:pPr>
              <w:rPr>
                <w:szCs w:val="22"/>
                <w:lang w:eastAsia="de-CH"/>
              </w:rPr>
            </w:pPr>
          </w:p>
        </w:tc>
        <w:tc>
          <w:tcPr>
            <w:tcW w:w="2126" w:type="dxa"/>
            <w:tcBorders>
              <w:top w:val="nil"/>
              <w:left w:val="nil"/>
              <w:bottom w:val="single" w:sz="4" w:space="0" w:color="auto"/>
              <w:right w:val="single" w:sz="4" w:space="0" w:color="auto"/>
            </w:tcBorders>
            <w:shd w:val="clear" w:color="auto" w:fill="auto"/>
            <w:noWrap/>
          </w:tcPr>
          <w:p w14:paraId="73CD00EB" w14:textId="77777777" w:rsidR="00DE1671" w:rsidRPr="005E7796" w:rsidRDefault="00DE1671" w:rsidP="006C68A8">
            <w:pPr>
              <w:rPr>
                <w:szCs w:val="22"/>
                <w:lang w:eastAsia="de-CH"/>
              </w:rPr>
            </w:pPr>
            <w:r w:rsidRPr="008A3762">
              <w:rPr>
                <w:szCs w:val="22"/>
                <w:lang w:eastAsia="de-CH"/>
              </w:rPr>
              <w:t>SDS Finanzen</w:t>
            </w:r>
          </w:p>
        </w:tc>
        <w:tc>
          <w:tcPr>
            <w:tcW w:w="8013" w:type="dxa"/>
            <w:tcBorders>
              <w:top w:val="nil"/>
              <w:left w:val="nil"/>
              <w:bottom w:val="single" w:sz="4" w:space="0" w:color="auto"/>
              <w:right w:val="single" w:sz="4" w:space="0" w:color="auto"/>
            </w:tcBorders>
            <w:shd w:val="clear" w:color="auto" w:fill="auto"/>
            <w:noWrap/>
          </w:tcPr>
          <w:p w14:paraId="1AA93734" w14:textId="77777777" w:rsidR="00DE1671" w:rsidRPr="00701EC1" w:rsidRDefault="00DE1671" w:rsidP="006C68A8">
            <w:pPr>
              <w:rPr>
                <w:szCs w:val="22"/>
                <w:lang w:eastAsia="de-CH"/>
              </w:rPr>
            </w:pPr>
            <w:r w:rsidRPr="00701EC1">
              <w:rPr>
                <w:szCs w:val="22"/>
                <w:lang w:eastAsia="de-CH"/>
              </w:rPr>
              <w:t>SDS Finanzen sendet den Rückforderungsbeleg an die KK.</w:t>
            </w:r>
          </w:p>
        </w:tc>
        <w:tc>
          <w:tcPr>
            <w:tcW w:w="1867" w:type="dxa"/>
            <w:tcBorders>
              <w:top w:val="nil"/>
              <w:left w:val="nil"/>
              <w:bottom w:val="single" w:sz="4" w:space="0" w:color="auto"/>
              <w:right w:val="single" w:sz="8" w:space="0" w:color="auto"/>
            </w:tcBorders>
            <w:shd w:val="clear" w:color="auto" w:fill="auto"/>
            <w:noWrap/>
          </w:tcPr>
          <w:p w14:paraId="68B774DE" w14:textId="77777777" w:rsidR="00DE1671" w:rsidRPr="008A3762" w:rsidRDefault="00DE1671" w:rsidP="006C68A8">
            <w:pPr>
              <w:rPr>
                <w:szCs w:val="22"/>
                <w:lang w:eastAsia="de-CH"/>
              </w:rPr>
            </w:pPr>
          </w:p>
        </w:tc>
      </w:tr>
      <w:tr w:rsidR="00DE1671" w:rsidRPr="008A1793" w14:paraId="627D2037" w14:textId="77777777" w:rsidTr="00DE1671">
        <w:trPr>
          <w:trHeight w:val="484"/>
        </w:trPr>
        <w:tc>
          <w:tcPr>
            <w:tcW w:w="676" w:type="dxa"/>
            <w:tcBorders>
              <w:top w:val="nil"/>
              <w:left w:val="single" w:sz="8" w:space="0" w:color="auto"/>
              <w:bottom w:val="single" w:sz="4" w:space="0" w:color="auto"/>
              <w:right w:val="single" w:sz="4" w:space="0" w:color="auto"/>
            </w:tcBorders>
            <w:shd w:val="clear" w:color="auto" w:fill="auto"/>
            <w:noWrap/>
          </w:tcPr>
          <w:p w14:paraId="0D1E6C3E" w14:textId="77777777" w:rsidR="00DE1671" w:rsidRDefault="00DE1671" w:rsidP="00DE1671">
            <w:pPr>
              <w:ind w:firstLineChars="118" w:firstLine="260"/>
              <w:rPr>
                <w:b/>
                <w:szCs w:val="22"/>
                <w:lang w:eastAsia="de-CH"/>
              </w:rPr>
            </w:pPr>
            <w:r>
              <w:rPr>
                <w:b/>
                <w:szCs w:val="22"/>
                <w:lang w:eastAsia="de-CH"/>
              </w:rPr>
              <w:t>5</w:t>
            </w:r>
          </w:p>
        </w:tc>
        <w:tc>
          <w:tcPr>
            <w:tcW w:w="1986" w:type="dxa"/>
            <w:tcBorders>
              <w:top w:val="nil"/>
              <w:left w:val="nil"/>
              <w:bottom w:val="single" w:sz="4" w:space="0" w:color="auto"/>
              <w:right w:val="single" w:sz="4" w:space="0" w:color="auto"/>
            </w:tcBorders>
            <w:shd w:val="clear" w:color="auto" w:fill="auto"/>
            <w:noWrap/>
          </w:tcPr>
          <w:p w14:paraId="632B3E45" w14:textId="77777777" w:rsidR="00DE1671" w:rsidRDefault="00DE1671" w:rsidP="006C68A8">
            <w:pPr>
              <w:rPr>
                <w:b/>
                <w:szCs w:val="22"/>
                <w:lang w:eastAsia="de-CH"/>
              </w:rPr>
            </w:pPr>
            <w:r>
              <w:rPr>
                <w:b/>
                <w:szCs w:val="22"/>
                <w:lang w:eastAsia="de-CH"/>
              </w:rPr>
              <w:t>Leistungs-</w:t>
            </w:r>
          </w:p>
          <w:p w14:paraId="0D00BC4E" w14:textId="77777777" w:rsidR="00DE1671" w:rsidRDefault="00DE1671" w:rsidP="006C68A8">
            <w:pPr>
              <w:rPr>
                <w:b/>
                <w:szCs w:val="22"/>
                <w:lang w:eastAsia="de-CH"/>
              </w:rPr>
            </w:pPr>
            <w:r>
              <w:rPr>
                <w:b/>
                <w:szCs w:val="22"/>
                <w:lang w:eastAsia="de-CH"/>
              </w:rPr>
              <w:t>abrechnung kontieren</w:t>
            </w:r>
          </w:p>
          <w:p w14:paraId="7044AAA4" w14:textId="77777777" w:rsidR="00DE1671" w:rsidRPr="00B629EB" w:rsidRDefault="00DE1671" w:rsidP="006C68A8">
            <w:pPr>
              <w:rPr>
                <w:b/>
                <w:szCs w:val="22"/>
                <w:lang w:eastAsia="de-CH"/>
              </w:rPr>
            </w:pPr>
          </w:p>
        </w:tc>
        <w:tc>
          <w:tcPr>
            <w:tcW w:w="2126" w:type="dxa"/>
            <w:tcBorders>
              <w:top w:val="nil"/>
              <w:left w:val="nil"/>
              <w:bottom w:val="single" w:sz="4" w:space="0" w:color="auto"/>
              <w:right w:val="single" w:sz="4" w:space="0" w:color="auto"/>
            </w:tcBorders>
            <w:shd w:val="clear" w:color="auto" w:fill="auto"/>
            <w:noWrap/>
          </w:tcPr>
          <w:p w14:paraId="15533929" w14:textId="77777777" w:rsidR="00DE1671" w:rsidRPr="005E7796" w:rsidRDefault="00DE1671" w:rsidP="006C68A8">
            <w:pPr>
              <w:rPr>
                <w:szCs w:val="22"/>
                <w:lang w:eastAsia="de-CH"/>
              </w:rPr>
            </w:pPr>
            <w:r>
              <w:rPr>
                <w:szCs w:val="22"/>
                <w:lang w:eastAsia="de-CH"/>
              </w:rPr>
              <w:t>SB</w:t>
            </w:r>
          </w:p>
        </w:tc>
        <w:tc>
          <w:tcPr>
            <w:tcW w:w="8013" w:type="dxa"/>
            <w:tcBorders>
              <w:top w:val="nil"/>
              <w:left w:val="nil"/>
              <w:bottom w:val="single" w:sz="4" w:space="0" w:color="auto"/>
              <w:right w:val="single" w:sz="4" w:space="0" w:color="auto"/>
            </w:tcBorders>
            <w:shd w:val="clear" w:color="auto" w:fill="auto"/>
            <w:noWrap/>
          </w:tcPr>
          <w:p w14:paraId="34C49CCE" w14:textId="77777777" w:rsidR="00DE1671" w:rsidRPr="00701EC1" w:rsidRDefault="00DE1671" w:rsidP="006C68A8">
            <w:pPr>
              <w:rPr>
                <w:szCs w:val="22"/>
                <w:lang w:eastAsia="de-CH"/>
              </w:rPr>
            </w:pPr>
            <w:r w:rsidRPr="00701EC1">
              <w:rPr>
                <w:szCs w:val="22"/>
                <w:lang w:eastAsia="de-CH"/>
              </w:rPr>
              <w:t xml:space="preserve">Trifft die Leistungsabrechnung der KK mit einem Guthaben zu Gunsten der SOD ein, wird die Leistungsabrechnung </w:t>
            </w:r>
            <w:r>
              <w:rPr>
                <w:szCs w:val="22"/>
                <w:lang w:eastAsia="de-CH"/>
              </w:rPr>
              <w:t xml:space="preserve">überprüft und </w:t>
            </w:r>
            <w:r w:rsidRPr="00701EC1">
              <w:rPr>
                <w:szCs w:val="22"/>
                <w:lang w:eastAsia="de-CH"/>
              </w:rPr>
              <w:t>mit Kontierungsstempel versehen (Angaben zur Fall-Nr. und Leistungsart des Zahlungseinganges) und umgehend an SDS Finanzen weiter geleitet.</w:t>
            </w:r>
            <w:r>
              <w:rPr>
                <w:szCs w:val="22"/>
                <w:lang w:eastAsia="de-CH"/>
              </w:rPr>
              <w:t xml:space="preserve"> </w:t>
            </w:r>
            <w:r w:rsidRPr="00701EC1">
              <w:rPr>
                <w:szCs w:val="22"/>
                <w:lang w:eastAsia="de-CH"/>
              </w:rPr>
              <w:t>Bei Bedarf kann analog zu den K-Fällen überprüft werden, ob die Zahlungseingänge von der Krankenkasse auch eingehen.</w:t>
            </w:r>
          </w:p>
          <w:p w14:paraId="75C06C8A" w14:textId="77777777" w:rsidR="00DE1671" w:rsidRPr="00701EC1" w:rsidRDefault="00DE1671" w:rsidP="006C68A8">
            <w:pPr>
              <w:rPr>
                <w:szCs w:val="22"/>
                <w:lang w:eastAsia="de-CH"/>
              </w:rPr>
            </w:pPr>
          </w:p>
          <w:p w14:paraId="7210E4F0" w14:textId="77777777" w:rsidR="00DE1671" w:rsidRPr="00701EC1" w:rsidRDefault="00DE1671" w:rsidP="006C68A8">
            <w:pPr>
              <w:rPr>
                <w:szCs w:val="22"/>
                <w:lang w:eastAsia="de-CH"/>
              </w:rPr>
            </w:pPr>
          </w:p>
        </w:tc>
        <w:tc>
          <w:tcPr>
            <w:tcW w:w="1867" w:type="dxa"/>
            <w:tcBorders>
              <w:top w:val="nil"/>
              <w:left w:val="nil"/>
              <w:bottom w:val="single" w:sz="4" w:space="0" w:color="auto"/>
              <w:right w:val="single" w:sz="8" w:space="0" w:color="auto"/>
            </w:tcBorders>
            <w:shd w:val="clear" w:color="auto" w:fill="auto"/>
            <w:noWrap/>
          </w:tcPr>
          <w:p w14:paraId="0D2BC04E" w14:textId="77777777" w:rsidR="00DE1671" w:rsidRPr="008A3762" w:rsidRDefault="00DE1671" w:rsidP="006C68A8">
            <w:pPr>
              <w:rPr>
                <w:szCs w:val="22"/>
                <w:lang w:eastAsia="de-CH"/>
              </w:rPr>
            </w:pPr>
          </w:p>
        </w:tc>
      </w:tr>
      <w:tr w:rsidR="00DE1671" w:rsidRPr="008A1793" w14:paraId="4F46B697" w14:textId="77777777" w:rsidTr="00DE1671">
        <w:trPr>
          <w:trHeight w:val="484"/>
        </w:trPr>
        <w:tc>
          <w:tcPr>
            <w:tcW w:w="676" w:type="dxa"/>
            <w:tcBorders>
              <w:top w:val="single" w:sz="4" w:space="0" w:color="auto"/>
              <w:left w:val="single" w:sz="8" w:space="0" w:color="auto"/>
              <w:bottom w:val="single" w:sz="4" w:space="0" w:color="auto"/>
              <w:right w:val="single" w:sz="4" w:space="0" w:color="auto"/>
            </w:tcBorders>
            <w:shd w:val="clear" w:color="auto" w:fill="auto"/>
            <w:noWrap/>
          </w:tcPr>
          <w:p w14:paraId="7549BA70" w14:textId="77777777" w:rsidR="00DE1671" w:rsidRDefault="00DE1671" w:rsidP="00DE1671">
            <w:pPr>
              <w:ind w:firstLineChars="118" w:firstLine="260"/>
              <w:rPr>
                <w:b/>
                <w:szCs w:val="22"/>
                <w:lang w:eastAsia="de-CH"/>
              </w:rPr>
            </w:pPr>
            <w:r>
              <w:rPr>
                <w:b/>
                <w:szCs w:val="22"/>
                <w:lang w:eastAsia="de-CH"/>
              </w:rPr>
              <w:t>6</w:t>
            </w:r>
          </w:p>
        </w:tc>
        <w:tc>
          <w:tcPr>
            <w:tcW w:w="1986" w:type="dxa"/>
            <w:tcBorders>
              <w:top w:val="single" w:sz="4" w:space="0" w:color="auto"/>
              <w:left w:val="nil"/>
              <w:bottom w:val="single" w:sz="4" w:space="0" w:color="auto"/>
              <w:right w:val="single" w:sz="4" w:space="0" w:color="auto"/>
            </w:tcBorders>
            <w:shd w:val="clear" w:color="auto" w:fill="auto"/>
            <w:noWrap/>
          </w:tcPr>
          <w:p w14:paraId="28826070" w14:textId="77777777" w:rsidR="00DE1671" w:rsidRDefault="00DE1671" w:rsidP="006C68A8">
            <w:pPr>
              <w:rPr>
                <w:b/>
                <w:szCs w:val="22"/>
                <w:lang w:eastAsia="de-CH"/>
              </w:rPr>
            </w:pPr>
            <w:r>
              <w:rPr>
                <w:b/>
                <w:szCs w:val="22"/>
                <w:lang w:eastAsia="de-CH"/>
              </w:rPr>
              <w:t>Zahlungseingang und Leistungs-</w:t>
            </w:r>
            <w:r>
              <w:rPr>
                <w:b/>
                <w:szCs w:val="22"/>
                <w:lang w:eastAsia="de-CH"/>
              </w:rPr>
              <w:lastRenderedPageBreak/>
              <w:t>abrechnung verbuchen</w:t>
            </w:r>
          </w:p>
          <w:p w14:paraId="2CBA6502" w14:textId="77777777" w:rsidR="00DE1671" w:rsidRDefault="00DE1671" w:rsidP="006C68A8">
            <w:pPr>
              <w:rPr>
                <w:b/>
                <w:szCs w:val="22"/>
                <w:lang w:eastAsia="de-CH"/>
              </w:rPr>
            </w:pPr>
          </w:p>
          <w:p w14:paraId="05C1B9AC" w14:textId="77777777" w:rsidR="00DE1671" w:rsidRDefault="00DE1671" w:rsidP="006C68A8">
            <w:pPr>
              <w:rPr>
                <w:b/>
                <w:szCs w:val="22"/>
                <w:lang w:eastAsia="de-CH"/>
              </w:rPr>
            </w:pPr>
          </w:p>
        </w:tc>
        <w:tc>
          <w:tcPr>
            <w:tcW w:w="2126" w:type="dxa"/>
            <w:tcBorders>
              <w:top w:val="single" w:sz="4" w:space="0" w:color="auto"/>
              <w:left w:val="nil"/>
              <w:bottom w:val="single" w:sz="4" w:space="0" w:color="auto"/>
              <w:right w:val="single" w:sz="4" w:space="0" w:color="auto"/>
            </w:tcBorders>
            <w:shd w:val="clear" w:color="auto" w:fill="auto"/>
            <w:noWrap/>
          </w:tcPr>
          <w:p w14:paraId="73FCBAF2" w14:textId="77777777" w:rsidR="00DE1671" w:rsidRDefault="00DE1671" w:rsidP="006C68A8">
            <w:pPr>
              <w:rPr>
                <w:szCs w:val="22"/>
                <w:lang w:eastAsia="de-CH"/>
              </w:rPr>
            </w:pPr>
            <w:r>
              <w:rPr>
                <w:szCs w:val="22"/>
                <w:lang w:eastAsia="de-CH"/>
              </w:rPr>
              <w:lastRenderedPageBreak/>
              <w:t>SDS Finanzen</w:t>
            </w:r>
          </w:p>
        </w:tc>
        <w:tc>
          <w:tcPr>
            <w:tcW w:w="8013" w:type="dxa"/>
            <w:tcBorders>
              <w:top w:val="single" w:sz="4" w:space="0" w:color="auto"/>
              <w:left w:val="nil"/>
              <w:bottom w:val="single" w:sz="4" w:space="0" w:color="auto"/>
              <w:right w:val="single" w:sz="4" w:space="0" w:color="auto"/>
            </w:tcBorders>
            <w:shd w:val="clear" w:color="auto" w:fill="auto"/>
            <w:noWrap/>
          </w:tcPr>
          <w:p w14:paraId="419CD059" w14:textId="77777777" w:rsidR="00DE1671" w:rsidRPr="008A3762" w:rsidRDefault="00DE1671" w:rsidP="006C68A8">
            <w:pPr>
              <w:pStyle w:val="Listenabsatz"/>
              <w:ind w:left="0"/>
              <w:rPr>
                <w:szCs w:val="22"/>
                <w:lang w:val="fr-CH"/>
              </w:rPr>
            </w:pPr>
            <w:r w:rsidRPr="008A3762">
              <w:rPr>
                <w:szCs w:val="22"/>
                <w:lang w:val="fr-CH"/>
              </w:rPr>
              <w:t>SDS Finanzen scannen die Leistungsabrechnung zum Zahlungseingang</w:t>
            </w:r>
            <w:r>
              <w:rPr>
                <w:szCs w:val="22"/>
                <w:lang w:val="fr-CH"/>
              </w:rPr>
              <w:t xml:space="preserve"> </w:t>
            </w:r>
            <w:r w:rsidRPr="008A3762">
              <w:rPr>
                <w:szCs w:val="22"/>
                <w:lang w:val="fr-CH"/>
              </w:rPr>
              <w:t>ein</w:t>
            </w:r>
            <w:r>
              <w:rPr>
                <w:szCs w:val="22"/>
                <w:lang w:val="fr-CH"/>
              </w:rPr>
              <w:t xml:space="preserve"> und verbuchen diesen auf die Sollstellung.</w:t>
            </w:r>
          </w:p>
        </w:tc>
        <w:tc>
          <w:tcPr>
            <w:tcW w:w="1867" w:type="dxa"/>
            <w:tcBorders>
              <w:top w:val="single" w:sz="4" w:space="0" w:color="auto"/>
              <w:left w:val="nil"/>
              <w:bottom w:val="single" w:sz="4" w:space="0" w:color="auto"/>
              <w:right w:val="single" w:sz="8" w:space="0" w:color="auto"/>
            </w:tcBorders>
            <w:shd w:val="clear" w:color="auto" w:fill="auto"/>
            <w:noWrap/>
          </w:tcPr>
          <w:p w14:paraId="37F1B8AE" w14:textId="77777777" w:rsidR="00DE1671" w:rsidRPr="008A3762" w:rsidRDefault="00DE1671" w:rsidP="006C68A8">
            <w:pPr>
              <w:rPr>
                <w:szCs w:val="22"/>
                <w:lang w:eastAsia="de-CH"/>
              </w:rPr>
            </w:pPr>
          </w:p>
        </w:tc>
      </w:tr>
      <w:tr w:rsidR="00DE1671" w:rsidRPr="008A1793" w14:paraId="5C1B09B8" w14:textId="77777777" w:rsidTr="00DE1671">
        <w:trPr>
          <w:trHeight w:val="484"/>
        </w:trPr>
        <w:tc>
          <w:tcPr>
            <w:tcW w:w="676" w:type="dxa"/>
            <w:tcBorders>
              <w:top w:val="nil"/>
              <w:left w:val="single" w:sz="8" w:space="0" w:color="auto"/>
              <w:bottom w:val="single" w:sz="4" w:space="0" w:color="auto"/>
              <w:right w:val="single" w:sz="4" w:space="0" w:color="auto"/>
            </w:tcBorders>
            <w:shd w:val="clear" w:color="auto" w:fill="auto"/>
            <w:noWrap/>
          </w:tcPr>
          <w:p w14:paraId="66D78E5A" w14:textId="77777777" w:rsidR="00DE1671" w:rsidRPr="00E902FF" w:rsidRDefault="00DE1671" w:rsidP="00DE1671">
            <w:pPr>
              <w:ind w:firstLineChars="118" w:firstLine="260"/>
              <w:rPr>
                <w:b/>
                <w:szCs w:val="22"/>
                <w:lang w:eastAsia="de-CH"/>
              </w:rPr>
            </w:pPr>
            <w:r>
              <w:rPr>
                <w:b/>
                <w:szCs w:val="22"/>
                <w:lang w:eastAsia="de-CH"/>
              </w:rPr>
              <w:t>7</w:t>
            </w:r>
          </w:p>
        </w:tc>
        <w:tc>
          <w:tcPr>
            <w:tcW w:w="1986" w:type="dxa"/>
            <w:tcBorders>
              <w:top w:val="nil"/>
              <w:left w:val="nil"/>
              <w:bottom w:val="single" w:sz="4" w:space="0" w:color="auto"/>
              <w:right w:val="single" w:sz="4" w:space="0" w:color="auto"/>
            </w:tcBorders>
            <w:shd w:val="clear" w:color="auto" w:fill="auto"/>
            <w:noWrap/>
          </w:tcPr>
          <w:p w14:paraId="767D082E" w14:textId="77777777" w:rsidR="00DE1671" w:rsidRDefault="00DE1671" w:rsidP="006C68A8">
            <w:pPr>
              <w:rPr>
                <w:b/>
                <w:szCs w:val="22"/>
                <w:lang w:eastAsia="de-CH"/>
              </w:rPr>
            </w:pPr>
            <w:r w:rsidRPr="00B629EB">
              <w:rPr>
                <w:b/>
                <w:szCs w:val="22"/>
                <w:lang w:eastAsia="de-CH"/>
              </w:rPr>
              <w:t>Unfallschein einreichen</w:t>
            </w:r>
          </w:p>
          <w:p w14:paraId="35AFC5B9" w14:textId="77777777" w:rsidR="00DE1671" w:rsidRPr="005E7796" w:rsidRDefault="00DE1671" w:rsidP="006C68A8">
            <w:pPr>
              <w:rPr>
                <w:b/>
                <w:szCs w:val="22"/>
                <w:lang w:eastAsia="de-CH"/>
              </w:rPr>
            </w:pPr>
          </w:p>
          <w:p w14:paraId="33410B2C" w14:textId="77777777" w:rsidR="00DE1671" w:rsidRPr="005E7796" w:rsidRDefault="00DE1671" w:rsidP="006C68A8">
            <w:pPr>
              <w:rPr>
                <w:b/>
                <w:szCs w:val="22"/>
                <w:lang w:eastAsia="de-CH"/>
              </w:rPr>
            </w:pPr>
          </w:p>
        </w:tc>
        <w:tc>
          <w:tcPr>
            <w:tcW w:w="2126" w:type="dxa"/>
            <w:tcBorders>
              <w:top w:val="nil"/>
              <w:left w:val="nil"/>
              <w:bottom w:val="single" w:sz="4" w:space="0" w:color="auto"/>
              <w:right w:val="single" w:sz="4" w:space="0" w:color="auto"/>
            </w:tcBorders>
            <w:shd w:val="clear" w:color="auto" w:fill="auto"/>
            <w:noWrap/>
          </w:tcPr>
          <w:p w14:paraId="61565CF7" w14:textId="77777777" w:rsidR="00DE1671" w:rsidRPr="008A1793" w:rsidRDefault="00DE1671" w:rsidP="006C68A8">
            <w:pPr>
              <w:rPr>
                <w:szCs w:val="22"/>
                <w:lang w:eastAsia="de-CH"/>
              </w:rPr>
            </w:pPr>
            <w:r w:rsidRPr="008A1793">
              <w:rPr>
                <w:szCs w:val="22"/>
                <w:lang w:eastAsia="de-CH"/>
              </w:rPr>
              <w:t>SB</w:t>
            </w:r>
          </w:p>
          <w:p w14:paraId="49396298" w14:textId="77777777" w:rsidR="00DE1671" w:rsidRPr="008A1793" w:rsidRDefault="00DE1671" w:rsidP="006C68A8">
            <w:pPr>
              <w:rPr>
                <w:szCs w:val="22"/>
                <w:lang w:eastAsia="de-CH"/>
              </w:rPr>
            </w:pPr>
          </w:p>
          <w:p w14:paraId="39884C84" w14:textId="77777777" w:rsidR="00DE1671" w:rsidRPr="008A1793" w:rsidRDefault="00DE1671" w:rsidP="006C68A8">
            <w:pPr>
              <w:rPr>
                <w:szCs w:val="22"/>
                <w:lang w:eastAsia="de-CH"/>
              </w:rPr>
            </w:pPr>
          </w:p>
        </w:tc>
        <w:tc>
          <w:tcPr>
            <w:tcW w:w="8013" w:type="dxa"/>
            <w:tcBorders>
              <w:top w:val="nil"/>
              <w:left w:val="nil"/>
              <w:bottom w:val="single" w:sz="4" w:space="0" w:color="auto"/>
              <w:right w:val="single" w:sz="4" w:space="0" w:color="auto"/>
            </w:tcBorders>
            <w:shd w:val="clear" w:color="auto" w:fill="auto"/>
            <w:noWrap/>
          </w:tcPr>
          <w:p w14:paraId="3CEC41FD" w14:textId="77777777" w:rsidR="00DE1671" w:rsidRPr="008A1793" w:rsidRDefault="00DE1671" w:rsidP="006C68A8">
            <w:pPr>
              <w:rPr>
                <w:szCs w:val="22"/>
                <w:lang w:eastAsia="de-CH"/>
              </w:rPr>
            </w:pPr>
            <w:r w:rsidRPr="008A1793">
              <w:rPr>
                <w:szCs w:val="22"/>
                <w:lang w:eastAsia="de-CH"/>
              </w:rPr>
              <w:t>Bei Nicht-Erwerbstätigen wird erst auf Verlangen der Krankenkasse ein Unfallschein eingereicht.</w:t>
            </w:r>
          </w:p>
          <w:p w14:paraId="4EAC5F2D" w14:textId="77777777" w:rsidR="00DE1671" w:rsidRPr="008A1793" w:rsidRDefault="00DE1671" w:rsidP="006C68A8">
            <w:pPr>
              <w:rPr>
                <w:szCs w:val="22"/>
                <w:lang w:eastAsia="de-CH"/>
              </w:rPr>
            </w:pPr>
          </w:p>
          <w:p w14:paraId="45CC1A23" w14:textId="77777777" w:rsidR="00DE1671" w:rsidRDefault="00DE1671" w:rsidP="006C68A8">
            <w:pPr>
              <w:rPr>
                <w:szCs w:val="22"/>
                <w:lang w:eastAsia="de-CH"/>
              </w:rPr>
            </w:pPr>
            <w:r w:rsidRPr="008A1793">
              <w:rPr>
                <w:szCs w:val="22"/>
                <w:lang w:eastAsia="de-CH"/>
              </w:rPr>
              <w:t>Bei Erwerbstätigen oder ALV-BezügerInnen prüfen, ob es sich um einen Unfall handelt. Die Rechnung geht zurück an den/die KlientIn und er/sie leitet diese an seinen/ihren Arbeitgeber bzw. an die Arbeitslosenversicherung weiter.</w:t>
            </w:r>
          </w:p>
          <w:p w14:paraId="421393EC" w14:textId="77777777" w:rsidR="00DE1671" w:rsidRPr="008A1793" w:rsidRDefault="00DE1671" w:rsidP="006C68A8">
            <w:pPr>
              <w:rPr>
                <w:szCs w:val="22"/>
                <w:lang w:eastAsia="de-CH"/>
              </w:rPr>
            </w:pPr>
          </w:p>
          <w:p w14:paraId="041E8B19" w14:textId="77777777" w:rsidR="00DE1671" w:rsidRPr="008A1793" w:rsidRDefault="00DE1671" w:rsidP="006C68A8">
            <w:pPr>
              <w:rPr>
                <w:szCs w:val="22"/>
                <w:lang w:eastAsia="de-CH"/>
              </w:rPr>
            </w:pPr>
          </w:p>
        </w:tc>
        <w:tc>
          <w:tcPr>
            <w:tcW w:w="1867" w:type="dxa"/>
            <w:tcBorders>
              <w:top w:val="nil"/>
              <w:left w:val="nil"/>
              <w:bottom w:val="single" w:sz="4" w:space="0" w:color="auto"/>
              <w:right w:val="single" w:sz="8" w:space="0" w:color="auto"/>
            </w:tcBorders>
            <w:shd w:val="clear" w:color="auto" w:fill="auto"/>
            <w:noWrap/>
          </w:tcPr>
          <w:p w14:paraId="22CAE0B3" w14:textId="77777777" w:rsidR="00DE1671" w:rsidRPr="008A1793" w:rsidRDefault="00DE1671" w:rsidP="006C68A8">
            <w:pPr>
              <w:rPr>
                <w:szCs w:val="22"/>
                <w:lang w:eastAsia="de-CH"/>
              </w:rPr>
            </w:pPr>
          </w:p>
        </w:tc>
      </w:tr>
    </w:tbl>
    <w:p w14:paraId="1450B7C1" w14:textId="77777777" w:rsidR="00DE1671" w:rsidRDefault="00DE1671" w:rsidP="00DE1671">
      <w:pPr>
        <w:tabs>
          <w:tab w:val="left" w:pos="420"/>
        </w:tabs>
        <w:spacing w:before="120" w:after="120" w:line="276" w:lineRule="auto"/>
      </w:pPr>
    </w:p>
    <w:p w14:paraId="77A62DC5" w14:textId="77777777" w:rsidR="00DE1671" w:rsidRDefault="00DE1671" w:rsidP="00C55B9E">
      <w:pPr>
        <w:rPr>
          <w:noProof/>
          <w:lang w:eastAsia="de-CH"/>
        </w:rPr>
      </w:pPr>
    </w:p>
    <w:sectPr w:rsidR="00DE1671" w:rsidSect="00A72D8F">
      <w:type w:val="continuous"/>
      <w:pgSz w:w="16838" w:h="11906" w:orient="landscape"/>
      <w:pgMar w:top="1985" w:right="1134" w:bottom="851" w:left="1701" w:header="567" w:footer="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70767" w14:textId="77777777" w:rsidR="006C68A8" w:rsidRDefault="006C68A8">
      <w:r>
        <w:separator/>
      </w:r>
    </w:p>
  </w:endnote>
  <w:endnote w:type="continuationSeparator" w:id="0">
    <w:p w14:paraId="5FC19B88" w14:textId="77777777" w:rsidR="006C68A8" w:rsidRDefault="006C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05F17" w14:textId="77777777" w:rsidR="006C68A8" w:rsidRDefault="006C68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08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4070"/>
      <w:gridCol w:w="4950"/>
    </w:tblGrid>
    <w:tr w:rsidR="006C68A8" w14:paraId="645F2246" w14:textId="77777777">
      <w:trPr>
        <w:trHeight w:val="356"/>
      </w:trPr>
      <w:tc>
        <w:tcPr>
          <w:tcW w:w="5063" w:type="dxa"/>
        </w:tcPr>
        <w:p w14:paraId="4C076522" w14:textId="77777777" w:rsidR="006C68A8" w:rsidRDefault="006C68A8">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Prozess_Rechnungen_med_Behandlungen_pruefen.docx</w:t>
          </w:r>
          <w:r>
            <w:rPr>
              <w:sz w:val="17"/>
            </w:rPr>
            <w:fldChar w:fldCharType="end"/>
          </w:r>
        </w:p>
      </w:tc>
      <w:tc>
        <w:tcPr>
          <w:tcW w:w="4070" w:type="dxa"/>
        </w:tcPr>
        <w:p w14:paraId="52BFB300" w14:textId="77777777" w:rsidR="006C68A8" w:rsidRDefault="006C68A8">
          <w:pPr>
            <w:pStyle w:val="Fuzeile"/>
            <w:tabs>
              <w:tab w:val="clear" w:pos="4536"/>
              <w:tab w:val="clear" w:pos="9072"/>
              <w:tab w:val="right" w:pos="8504"/>
            </w:tabs>
            <w:jc w:val="center"/>
            <w:rPr>
              <w:sz w:val="17"/>
            </w:rPr>
          </w:pPr>
        </w:p>
      </w:tc>
      <w:tc>
        <w:tcPr>
          <w:tcW w:w="4950" w:type="dxa"/>
        </w:tcPr>
        <w:p w14:paraId="1F42E530" w14:textId="77777777" w:rsidR="006C68A8" w:rsidRDefault="006C68A8">
          <w:pPr>
            <w:pStyle w:val="Fuzeile"/>
            <w:tabs>
              <w:tab w:val="clear" w:pos="4536"/>
              <w:tab w:val="clear" w:pos="9072"/>
              <w:tab w:val="right" w:pos="8504"/>
            </w:tabs>
            <w:jc w:val="center"/>
            <w:rPr>
              <w:sz w:val="17"/>
              <w:lang w:val="de-DE"/>
            </w:rPr>
          </w:pPr>
        </w:p>
      </w:tc>
    </w:tr>
  </w:tbl>
  <w:p w14:paraId="30B2CE58" w14:textId="77777777" w:rsidR="006C68A8" w:rsidRDefault="006C68A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08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4070"/>
      <w:gridCol w:w="4950"/>
    </w:tblGrid>
    <w:tr w:rsidR="006C68A8" w14:paraId="335C0BEA" w14:textId="77777777">
      <w:trPr>
        <w:trHeight w:val="356"/>
      </w:trPr>
      <w:tc>
        <w:tcPr>
          <w:tcW w:w="5063" w:type="dxa"/>
        </w:tcPr>
        <w:p w14:paraId="72004563" w14:textId="77777777" w:rsidR="006C68A8" w:rsidRDefault="006C68A8">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Prozess_Rechnungen_med_Behandlungen_pruefen.docx</w:t>
          </w:r>
          <w:r>
            <w:rPr>
              <w:sz w:val="17"/>
            </w:rPr>
            <w:fldChar w:fldCharType="end"/>
          </w:r>
        </w:p>
      </w:tc>
      <w:tc>
        <w:tcPr>
          <w:tcW w:w="4070" w:type="dxa"/>
        </w:tcPr>
        <w:p w14:paraId="0F72EA51" w14:textId="650F64F9" w:rsidR="006C68A8" w:rsidRDefault="006C68A8" w:rsidP="00D12FF2">
          <w:pPr>
            <w:pStyle w:val="Fuzeile"/>
            <w:tabs>
              <w:tab w:val="clear" w:pos="4536"/>
              <w:tab w:val="clear" w:pos="9072"/>
              <w:tab w:val="right" w:pos="8504"/>
            </w:tabs>
            <w:jc w:val="center"/>
            <w:rPr>
              <w:sz w:val="17"/>
            </w:rPr>
          </w:pPr>
          <w:r>
            <w:rPr>
              <w:sz w:val="17"/>
            </w:rPr>
            <w:t>Version 1.1</w:t>
          </w:r>
        </w:p>
      </w:tc>
      <w:tc>
        <w:tcPr>
          <w:tcW w:w="4950" w:type="dxa"/>
        </w:tcPr>
        <w:p w14:paraId="4693E8F0" w14:textId="1AA17F33" w:rsidR="006C68A8" w:rsidRDefault="006C68A8" w:rsidP="00324F71">
          <w:pPr>
            <w:pStyle w:val="Fuzeile"/>
            <w:tabs>
              <w:tab w:val="clear" w:pos="4536"/>
              <w:tab w:val="clear" w:pos="9072"/>
              <w:tab w:val="right" w:pos="8504"/>
            </w:tabs>
            <w:jc w:val="right"/>
            <w:rPr>
              <w:sz w:val="17"/>
              <w:lang w:val="de-DE"/>
            </w:rPr>
          </w:pPr>
          <w:r>
            <w:rPr>
              <w:sz w:val="17"/>
              <w:lang w:val="de-DE"/>
            </w:rPr>
            <w:t xml:space="preserve">VerfasserIn: FS WH </w:t>
          </w:r>
          <w:r>
            <w:rPr>
              <w:sz w:val="17"/>
              <w:lang w:val="de-DE"/>
            </w:rPr>
            <w:fldChar w:fldCharType="begin"/>
          </w:r>
          <w:r>
            <w:rPr>
              <w:sz w:val="17"/>
              <w:lang w:val="de-DE"/>
            </w:rPr>
            <w:instrText xml:space="preserve"> USERNAME   \* MERGEFORMAT </w:instrText>
          </w:r>
          <w:r>
            <w:rPr>
              <w:sz w:val="17"/>
              <w:lang w:val="de-DE"/>
            </w:rPr>
            <w:fldChar w:fldCharType="separate"/>
          </w:r>
          <w:r>
            <w:rPr>
              <w:noProof/>
              <w:sz w:val="17"/>
              <w:lang w:val="de-DE"/>
            </w:rPr>
            <w:t>I</w:t>
          </w:r>
          <w:r>
            <w:rPr>
              <w:sz w:val="17"/>
              <w:lang w:val="de-DE"/>
            </w:rPr>
            <w:fldChar w:fldCharType="end"/>
          </w:r>
          <w:r>
            <w:rPr>
              <w:sz w:val="17"/>
              <w:lang w:val="de-DE"/>
            </w:rPr>
            <w:t xml:space="preserve"> </w:t>
          </w:r>
        </w:p>
      </w:tc>
    </w:tr>
    <w:tr w:rsidR="006C68A8" w14:paraId="57C92F3C" w14:textId="77777777" w:rsidTr="006C68A8">
      <w:trPr>
        <w:trHeight w:val="356"/>
      </w:trPr>
      <w:tc>
        <w:tcPr>
          <w:tcW w:w="14083" w:type="dxa"/>
          <w:gridSpan w:val="3"/>
        </w:tcPr>
        <w:p w14:paraId="75B5BAB9" w14:textId="3707172C" w:rsidR="006C68A8" w:rsidRDefault="006C68A8" w:rsidP="00F77DEE">
          <w:pPr>
            <w:pStyle w:val="Fuzeile"/>
            <w:tabs>
              <w:tab w:val="clear" w:pos="4536"/>
              <w:tab w:val="clear" w:pos="9072"/>
              <w:tab w:val="right" w:pos="8504"/>
            </w:tabs>
            <w:rPr>
              <w:sz w:val="17"/>
              <w:lang w:val="de-DE"/>
            </w:rPr>
          </w:pPr>
          <w:r>
            <w:rPr>
              <w:sz w:val="17"/>
              <w:lang w:val="de-DE"/>
            </w:rPr>
            <w:t>© Copyright</w:t>
          </w:r>
          <w:r w:rsidR="00F77DEE">
            <w:rPr>
              <w:sz w:val="17"/>
              <w:lang w:val="de-DE"/>
            </w:rPr>
            <w:t>:</w:t>
          </w:r>
          <w:r>
            <w:rPr>
              <w:sz w:val="17"/>
              <w:lang w:val="de-DE"/>
            </w:rPr>
            <w:t xml:space="preserve"> Soziale Dienste. Eine Weiterverwendung ist nur mit dem Zusatz «Soziale Dienste Stadt Zürich» erlaubt.</w:t>
          </w:r>
        </w:p>
      </w:tc>
    </w:tr>
  </w:tbl>
  <w:p w14:paraId="6D41E9D8" w14:textId="77777777" w:rsidR="006C68A8" w:rsidRDefault="006C68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CAC33" w14:textId="77777777" w:rsidR="006C68A8" w:rsidRDefault="006C68A8">
      <w:r>
        <w:separator/>
      </w:r>
    </w:p>
  </w:footnote>
  <w:footnote w:type="continuationSeparator" w:id="0">
    <w:p w14:paraId="742CBEFE" w14:textId="77777777" w:rsidR="006C68A8" w:rsidRDefault="006C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6B708" w14:textId="77777777" w:rsidR="006C68A8" w:rsidRDefault="006C68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252" w:type="dxa"/>
      <w:tblInd w:w="-680" w:type="dxa"/>
      <w:tblLayout w:type="fixed"/>
      <w:tblCellMar>
        <w:left w:w="3" w:type="dxa"/>
        <w:right w:w="3" w:type="dxa"/>
      </w:tblCellMar>
      <w:tblLook w:val="0000" w:firstRow="0" w:lastRow="0" w:firstColumn="0" w:lastColumn="0" w:noHBand="0" w:noVBand="0"/>
    </w:tblPr>
    <w:tblGrid>
      <w:gridCol w:w="680"/>
      <w:gridCol w:w="11510"/>
      <w:gridCol w:w="3051"/>
      <w:gridCol w:w="11"/>
    </w:tblGrid>
    <w:tr w:rsidR="006C68A8" w14:paraId="6FBB749E" w14:textId="77777777" w:rsidTr="008278CD">
      <w:tc>
        <w:tcPr>
          <w:tcW w:w="12190" w:type="dxa"/>
          <w:gridSpan w:val="2"/>
        </w:tcPr>
        <w:p w14:paraId="291FDBC4" w14:textId="77777777" w:rsidR="006C68A8" w:rsidRDefault="006C68A8" w:rsidP="008278CD">
          <w:pPr>
            <w:pStyle w:val="Kopfzeile"/>
            <w:tabs>
              <w:tab w:val="clear" w:pos="4536"/>
              <w:tab w:val="clear" w:pos="9072"/>
            </w:tabs>
            <w:rPr>
              <w:szCs w:val="22"/>
            </w:rPr>
          </w:pPr>
          <w:r>
            <w:rPr>
              <w:noProof/>
              <w:szCs w:val="22"/>
              <w:lang w:eastAsia="de-CH"/>
            </w:rPr>
            <w:drawing>
              <wp:inline distT="0" distB="0" distL="0" distR="0" wp14:anchorId="61091494" wp14:editId="34675BCA">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3062" w:type="dxa"/>
          <w:gridSpan w:val="2"/>
        </w:tcPr>
        <w:p w14:paraId="463EBBE7" w14:textId="77777777" w:rsidR="006C68A8" w:rsidRDefault="006C68A8" w:rsidP="008278CD">
          <w:pPr>
            <w:pStyle w:val="Kopfzeile"/>
            <w:tabs>
              <w:tab w:val="clear" w:pos="4536"/>
              <w:tab w:val="clear" w:pos="9072"/>
            </w:tabs>
            <w:rPr>
              <w:sz w:val="17"/>
              <w:szCs w:val="17"/>
            </w:rPr>
          </w:pPr>
        </w:p>
      </w:tc>
    </w:tr>
    <w:tr w:rsidR="006C68A8" w14:paraId="192CA2C6" w14:textId="77777777" w:rsidTr="008278CD">
      <w:trPr>
        <w:gridAfter w:val="1"/>
        <w:wAfter w:w="11" w:type="dxa"/>
        <w:trHeight w:val="737"/>
      </w:trPr>
      <w:tc>
        <w:tcPr>
          <w:tcW w:w="680" w:type="dxa"/>
        </w:tcPr>
        <w:p w14:paraId="0575BA3A" w14:textId="77777777" w:rsidR="006C68A8" w:rsidRDefault="006C68A8" w:rsidP="008278CD">
          <w:pPr>
            <w:pStyle w:val="Kopfzeile"/>
          </w:pPr>
        </w:p>
      </w:tc>
      <w:tc>
        <w:tcPr>
          <w:tcW w:w="14561" w:type="dxa"/>
          <w:gridSpan w:val="2"/>
          <w:vAlign w:val="center"/>
        </w:tcPr>
        <w:p w14:paraId="1075FB0C" w14:textId="41F0C338" w:rsidR="006C68A8" w:rsidRDefault="006C68A8" w:rsidP="008278CD">
          <w:pPr>
            <w:pStyle w:val="Kopfzeile"/>
          </w:pPr>
          <w:r>
            <w:fldChar w:fldCharType="begin"/>
          </w:r>
          <w:r>
            <w:instrText xml:space="preserve"> PAGE   \* MERGEFORMAT </w:instrText>
          </w:r>
          <w:r>
            <w:fldChar w:fldCharType="separate"/>
          </w:r>
          <w:r w:rsidR="00027E66">
            <w:rPr>
              <w:noProof/>
            </w:rPr>
            <w:t>2</w:t>
          </w:r>
          <w:r>
            <w:fldChar w:fldCharType="end"/>
          </w:r>
          <w:r>
            <w:t>/</w:t>
          </w:r>
          <w:fldSimple w:instr=" NUMPAGES   \* MERGEFORMAT ">
            <w:r w:rsidR="00027E66">
              <w:rPr>
                <w:noProof/>
              </w:rPr>
              <w:t>5</w:t>
            </w:r>
          </w:fldSimple>
        </w:p>
      </w:tc>
    </w:tr>
  </w:tbl>
  <w:p w14:paraId="606D4E3C" w14:textId="77777777" w:rsidR="006C68A8" w:rsidRDefault="006C68A8">
    <w:pPr>
      <w:pStyle w:val="Kopfzeile"/>
      <w:tabs>
        <w:tab w:val="clear" w:pos="4536"/>
        <w:tab w:val="clear" w:pos="9072"/>
      </w:tabs>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252" w:type="dxa"/>
      <w:tblInd w:w="-680" w:type="dxa"/>
      <w:tblLayout w:type="fixed"/>
      <w:tblCellMar>
        <w:left w:w="3" w:type="dxa"/>
        <w:right w:w="3" w:type="dxa"/>
      </w:tblCellMar>
      <w:tblLook w:val="0000" w:firstRow="0" w:lastRow="0" w:firstColumn="0" w:lastColumn="0" w:noHBand="0" w:noVBand="0"/>
    </w:tblPr>
    <w:tblGrid>
      <w:gridCol w:w="12190"/>
      <w:gridCol w:w="3062"/>
    </w:tblGrid>
    <w:tr w:rsidR="006C68A8" w14:paraId="16703634" w14:textId="77777777">
      <w:tc>
        <w:tcPr>
          <w:tcW w:w="12191" w:type="dxa"/>
        </w:tcPr>
        <w:p w14:paraId="3D352AA1" w14:textId="77777777" w:rsidR="006C68A8" w:rsidRDefault="006C68A8">
          <w:pPr>
            <w:pStyle w:val="Kopfzeile"/>
            <w:tabs>
              <w:tab w:val="clear" w:pos="4536"/>
              <w:tab w:val="clear" w:pos="9072"/>
            </w:tabs>
            <w:rPr>
              <w:szCs w:val="22"/>
            </w:rPr>
          </w:pPr>
          <w:r>
            <w:rPr>
              <w:noProof/>
              <w:szCs w:val="22"/>
              <w:lang w:eastAsia="de-CH"/>
            </w:rPr>
            <w:drawing>
              <wp:inline distT="0" distB="0" distL="0" distR="0" wp14:anchorId="7C392F0B" wp14:editId="38CEB0F5">
                <wp:extent cx="1352550" cy="276225"/>
                <wp:effectExtent l="0" t="0" r="0" b="0"/>
                <wp:docPr id="3" name="Bild 3"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3062" w:type="dxa"/>
        </w:tcPr>
        <w:p w14:paraId="3BB1289F" w14:textId="77777777" w:rsidR="006C68A8" w:rsidRDefault="006C68A8">
          <w:pPr>
            <w:pStyle w:val="Kopfzeile"/>
            <w:tabs>
              <w:tab w:val="clear" w:pos="4536"/>
              <w:tab w:val="clear" w:pos="9072"/>
            </w:tabs>
            <w:rPr>
              <w:sz w:val="17"/>
              <w:szCs w:val="17"/>
            </w:rPr>
          </w:pPr>
        </w:p>
      </w:tc>
    </w:tr>
    <w:tr w:rsidR="006C68A8" w14:paraId="708F193A" w14:textId="77777777">
      <w:tc>
        <w:tcPr>
          <w:tcW w:w="12191" w:type="dxa"/>
        </w:tcPr>
        <w:p w14:paraId="69DC2595" w14:textId="77777777" w:rsidR="006C68A8" w:rsidRDefault="006C68A8">
          <w:pPr>
            <w:pStyle w:val="Kopfzeile"/>
            <w:tabs>
              <w:tab w:val="clear" w:pos="4536"/>
              <w:tab w:val="clear" w:pos="9072"/>
            </w:tabs>
            <w:rPr>
              <w:szCs w:val="22"/>
            </w:rPr>
          </w:pPr>
        </w:p>
      </w:tc>
      <w:tc>
        <w:tcPr>
          <w:tcW w:w="3062" w:type="dxa"/>
        </w:tcPr>
        <w:p w14:paraId="3D9AA3EA" w14:textId="77777777" w:rsidR="006C68A8" w:rsidRDefault="006C68A8">
          <w:pPr>
            <w:pStyle w:val="Kopfzeile"/>
            <w:tabs>
              <w:tab w:val="clear" w:pos="4536"/>
              <w:tab w:val="clear" w:pos="9072"/>
            </w:tabs>
            <w:rPr>
              <w:noProof/>
              <w:sz w:val="17"/>
              <w:szCs w:val="17"/>
              <w:lang w:val="de-DE"/>
            </w:rPr>
          </w:pPr>
        </w:p>
      </w:tc>
    </w:tr>
  </w:tbl>
  <w:p w14:paraId="3CC7C260" w14:textId="77777777" w:rsidR="006C68A8" w:rsidRDefault="006C68A8">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447CDFE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2A19484A"/>
    <w:multiLevelType w:val="hybridMultilevel"/>
    <w:tmpl w:val="E10075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F2E32"/>
    <w:multiLevelType w:val="hybridMultilevel"/>
    <w:tmpl w:val="EFEE2BF8"/>
    <w:lvl w:ilvl="0" w:tplc="94A02F38">
      <w:start w:val="1"/>
      <w:numFmt w:val="decimal"/>
      <w:lvlText w:val="%1."/>
      <w:lvlJc w:val="left"/>
      <w:pPr>
        <w:ind w:left="36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LI"/>
    <w:docVar w:name="dvaFGroup" w:val="Ntl01"/>
    <w:docVar w:name="dvaFileNameAct" w:val="0"/>
    <w:docVar w:name="dvaFileNameVis" w:val="1"/>
    <w:docVar w:name="dvaFL" w:val="DE"/>
    <w:docVar w:name="dvaFootAct" w:val="0"/>
    <w:docVar w:name="dvaFoPaAct" w:val="0"/>
    <w:docVar w:name="dvaHeadExtInt" w:val="In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C55B9E"/>
    <w:rsid w:val="00027E66"/>
    <w:rsid w:val="00142BF5"/>
    <w:rsid w:val="00186F7C"/>
    <w:rsid w:val="00322413"/>
    <w:rsid w:val="00324F71"/>
    <w:rsid w:val="0042266D"/>
    <w:rsid w:val="004D7439"/>
    <w:rsid w:val="00594E51"/>
    <w:rsid w:val="006054B4"/>
    <w:rsid w:val="006C68A8"/>
    <w:rsid w:val="006F27A2"/>
    <w:rsid w:val="008217C7"/>
    <w:rsid w:val="008278CD"/>
    <w:rsid w:val="00A72D8F"/>
    <w:rsid w:val="00B33838"/>
    <w:rsid w:val="00C55B9E"/>
    <w:rsid w:val="00C97971"/>
    <w:rsid w:val="00D12FF2"/>
    <w:rsid w:val="00DC20E5"/>
    <w:rsid w:val="00DE1671"/>
    <w:rsid w:val="00F20568"/>
    <w:rsid w:val="00F77DEE"/>
    <w:rsid w:val="00FD16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58ACFCD0"/>
  <w15:docId w15:val="{B06F52ED-8C78-4FC3-A7A4-AB14C4B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A72D8F"/>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A72D8F"/>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pPr>
    <w:rPr>
      <w:b/>
      <w:szCs w:val="24"/>
    </w:rPr>
  </w:style>
  <w:style w:type="paragraph" w:styleId="Sprechblasentext">
    <w:name w:val="Balloon Text"/>
    <w:basedOn w:val="Standard"/>
    <w:link w:val="SprechblasentextZchn"/>
    <w:rsid w:val="00DE1671"/>
    <w:rPr>
      <w:rFonts w:ascii="Tahoma" w:hAnsi="Tahoma" w:cs="Tahoma"/>
      <w:sz w:val="16"/>
      <w:szCs w:val="16"/>
    </w:rPr>
  </w:style>
  <w:style w:type="character" w:customStyle="1" w:styleId="SprechblasentextZchn">
    <w:name w:val="Sprechblasentext Zchn"/>
    <w:basedOn w:val="Absatz-Standardschriftart"/>
    <w:link w:val="Sprechblasentext"/>
    <w:rsid w:val="00DE1671"/>
    <w:rPr>
      <w:rFonts w:ascii="Tahoma" w:hAnsi="Tahoma" w:cs="Tahoma"/>
      <w:sz w:val="16"/>
      <w:szCs w:val="16"/>
      <w:lang w:eastAsia="de-DE"/>
    </w:rPr>
  </w:style>
  <w:style w:type="paragraph" w:styleId="Kommentartext">
    <w:name w:val="annotation text"/>
    <w:basedOn w:val="Standard"/>
    <w:link w:val="KommentartextZchn"/>
    <w:rsid w:val="00DE1671"/>
    <w:rPr>
      <w:sz w:val="20"/>
    </w:rPr>
  </w:style>
  <w:style w:type="character" w:customStyle="1" w:styleId="KommentartextZchn">
    <w:name w:val="Kommentartext Zchn"/>
    <w:basedOn w:val="Absatz-Standardschriftart"/>
    <w:link w:val="Kommentartext"/>
    <w:rsid w:val="00DE1671"/>
    <w:rPr>
      <w:rFonts w:ascii="Arial" w:hAnsi="Arial" w:cs="Arial"/>
      <w:lang w:eastAsia="de-DE"/>
    </w:rPr>
  </w:style>
  <w:style w:type="paragraph" w:styleId="Listenabsatz">
    <w:name w:val="List Paragraph"/>
    <w:basedOn w:val="Standard"/>
    <w:uiPriority w:val="34"/>
    <w:qFormat/>
    <w:rsid w:val="00DE1671"/>
    <w:pPr>
      <w:ind w:left="720"/>
      <w:contextualSpacing/>
    </w:pPr>
  </w:style>
  <w:style w:type="character" w:styleId="Hyperlink">
    <w:name w:val="Hyperlink"/>
    <w:basedOn w:val="Absatz-Standardschriftart"/>
    <w:rsid w:val="00DC20E5"/>
    <w:rPr>
      <w:color w:val="0000FF" w:themeColor="hyperlink"/>
      <w:u w:val="single"/>
    </w:rPr>
  </w:style>
  <w:style w:type="character" w:styleId="Kommentarzeichen">
    <w:name w:val="annotation reference"/>
    <w:basedOn w:val="Absatz-Standardschriftart"/>
    <w:semiHidden/>
    <w:unhideWhenUsed/>
    <w:rsid w:val="006C68A8"/>
    <w:rPr>
      <w:sz w:val="16"/>
      <w:szCs w:val="16"/>
    </w:rPr>
  </w:style>
  <w:style w:type="paragraph" w:styleId="Kommentarthema">
    <w:name w:val="annotation subject"/>
    <w:basedOn w:val="Kommentartext"/>
    <w:next w:val="Kommentartext"/>
    <w:link w:val="KommentarthemaZchn"/>
    <w:semiHidden/>
    <w:unhideWhenUsed/>
    <w:rsid w:val="006C68A8"/>
    <w:rPr>
      <w:b/>
      <w:bCs/>
    </w:rPr>
  </w:style>
  <w:style w:type="character" w:customStyle="1" w:styleId="KommentarthemaZchn">
    <w:name w:val="Kommentarthema Zchn"/>
    <w:basedOn w:val="KommentartextZchn"/>
    <w:link w:val="Kommentarthema"/>
    <w:semiHidden/>
    <w:rsid w:val="006C68A8"/>
    <w:rPr>
      <w:rFonts w:ascii="Arial" w:hAnsi="Arial" w:cs="Arial"/>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SOD\SOD-Wordvorlagen\1_Dokumentenstandard_SoD_quer.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Gültig_x0020_bis xmlns="3905ffbc-9aeb-4d51-937e-ee1e2cf00671" xsi:nil="true"/>
    <Kurzbeschreibung_x0020_Dokument xmlns="3905ffbc-9aeb-4d51-937e-ee1e2cf00671">&lt;div&gt;Version 1.1&lt;/div&gt;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Bemerkungen xmlns="ac457149-16c0-4441-a494-2f75bdb238e5"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635572833864091812</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635572833864091812</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635572833864091812</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635572833864091812</Data>
    <Filter/>
  </Receiver>
</spe:Receivers>
</file>

<file path=customXml/item4.xml><?xml version="1.0" encoding="utf-8"?>
<ct:contentTypeSchema xmlns:ct="http://schemas.microsoft.com/office/2006/metadata/contentType" xmlns:ma="http://schemas.microsoft.com/office/2006/metadata/properties/metaAttributes" ct:_="" ma:_="" ma:contentTypeName="SOD Prozessbeschreibung" ma:contentTypeID="0x0101003BC4A12EDDBCA74B99A939E4C81027DF00E2B061C38FFE9644A1957B08576496FA" ma:contentTypeVersion="4" ma:contentTypeDescription="" ma:contentTypeScope="" ma:versionID="a1d7af262218a7c8369b061e8f2aff22">
  <xsd:schema xmlns:xsd="http://www.w3.org/2001/XMLSchema" xmlns:xs="http://www.w3.org/2001/XMLSchema" xmlns:p="http://schemas.microsoft.com/office/2006/metadata/properties" xmlns:ns2="3905ffbc-9aeb-4d51-937e-ee1e2cf00671" xmlns:ns3="f3b92940-74e1-4b32-811a-cd501d17ae23" xmlns:ns4="ac457149-16c0-4441-a494-2f75bdb238e5" targetNamespace="http://schemas.microsoft.com/office/2006/metadata/properties" ma:root="true" ma:fieldsID="a84ce852f27bed8b414b6ae30486ba0e" ns2:_="" ns3:_="" ns4:_="">
    <xsd:import namespace="3905ffbc-9aeb-4d51-937e-ee1e2cf00671"/>
    <xsd:import namespace="f3b92940-74e1-4b32-811a-cd501d17ae23"/>
    <xsd:import namespace="ac457149-16c0-4441-a494-2f75bdb238e5"/>
    <xsd:element name="properties">
      <xsd:complexType>
        <xsd:sequence>
          <xsd:element name="documentManagement">
            <xsd:complexType>
              <xsd:all>
                <xsd:element ref="ns2:Gültig_x0020_bis" minOccurs="0"/>
                <xsd:element ref="ns2:Gültig_x0020_von" minOccurs="0"/>
                <xsd:element ref="ns3:Fachkonzept" minOccurs="0"/>
                <xsd:element ref="ns3:Leistung" minOccurs="0"/>
                <xsd:element ref="ns2:Kurzbeschreibung_x0020_Dokument" minOccurs="0"/>
                <xsd:element ref="ns3:Gesetzliche_x0020_Grundlage" minOccurs="0"/>
                <xsd:element ref="ns3:Dokumentenstatus" minOccurs="0"/>
                <xsd:element ref="ns2:Dokumentenart1" minOccurs="0"/>
                <xsd:element ref="ns3:Federführende_x002f_s_x0020_Fachressort_x002f_Einheit" minOccurs="0"/>
                <xsd:element ref="ns3:Herausgabe_x0020_bei_x0020_Informationszugangsgesuchen" minOccurs="0"/>
                <xsd:element ref="ns2:Verantwortliche_x002f_r_x0020_Autor_x002f_in" minOccurs="0"/>
                <xsd:element ref="ns3:Zu_x0020_konsultierende_x002f_-s_x0020_Fachressort_x002f_-s" minOccurs="0"/>
                <xsd:element ref="ns3:SKOS-Kapitel" minOccurs="0"/>
                <xsd:element ref="ns3:Thematische_x0020_Zuordnung_x0020_Fachressort_x0028_s_x0029_" minOccurs="0"/>
                <xsd:element ref="ns4:Bemerkung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bis" ma:index="2" nillable="true" ma:displayName="Gültig bis" ma:description="Bis wann gilt das Dokument?" ma:format="DateOnly" ma:internalName="G_x00fc_ltig_x0020_bis">
      <xsd:simpleType>
        <xsd:restriction base="dms:DateTime"/>
      </xsd:simpleType>
    </xsd:element>
    <xsd:element name="Gültig_x0020_von" ma:index="3" nillable="true" ma:displayName="Gültig von" ma:description="Ab wann gilt das Dokument?" ma:format="DateOnly" ma:internalName="G_x00fc_ltig_x0020_von">
      <xsd:simpleType>
        <xsd:restriction base="dms:DateTime"/>
      </xsd:simpleType>
    </xsd:element>
    <xsd:element name="Kurzbeschreibung_x0020_Dokument" ma:index="12"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Dokumentenart1" ma:index="15" nillable="true" ma:displayName="Dokumentenart" ma:indexed="true" ma:internalName="Dokumentenart1">
      <xsd:simpleType>
        <xsd:restriction base="dms:Text">
          <xsd:maxLength value="255"/>
        </xsd:restriction>
      </xsd:simpleType>
    </xsd:element>
    <xsd:element name="Verantwortliche_x002f_r_x0020_Autor_x002f_in" ma:index="18"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13"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6"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Herausgabe_x0020_bei_x0020_Informationszugangsgesuchen" ma:index="17"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Zu_x0020_konsultierende_x002f_-s_x0020_Fachressort_x002f_-s" ma:index="19"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0"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c457149-16c0-4441-a494-2f75bdb238e5" elementFormDefault="qualified">
    <xsd:import namespace="http://schemas.microsoft.com/office/2006/documentManagement/types"/>
    <xsd:import namespace="http://schemas.microsoft.com/office/infopath/2007/PartnerControls"/>
    <xsd:element name="Bemerkungen" ma:index="22" nillable="true" ma:displayName="Bemerkungen" ma:internalName="Bemerkunge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A7B43D-72B5-4131-BD9D-ABB94D46ED0B}">
  <ds:schemaRefs>
    <ds:schemaRef ds:uri="http://schemas.microsoft.com/sharepoint/v3/contenttype/forms"/>
  </ds:schemaRefs>
</ds:datastoreItem>
</file>

<file path=customXml/itemProps2.xml><?xml version="1.0" encoding="utf-8"?>
<ds:datastoreItem xmlns:ds="http://schemas.openxmlformats.org/officeDocument/2006/customXml" ds:itemID="{2D6C4611-36E6-4AC3-A993-7C3EDF3ACC6B}">
  <ds:schemaRefs>
    <ds:schemaRef ds:uri="http://purl.org/dc/terms/"/>
    <ds:schemaRef ds:uri="http://schemas.microsoft.com/office/2006/documentManagement/types"/>
    <ds:schemaRef ds:uri="http://schemas.microsoft.com/office/2006/metadata/properties"/>
    <ds:schemaRef ds:uri="http://purl.org/dc/elements/1.1/"/>
    <ds:schemaRef ds:uri="f3b92940-74e1-4b32-811a-cd501d17ae23"/>
    <ds:schemaRef ds:uri="http://schemas.microsoft.com/office/infopath/2007/PartnerControls"/>
    <ds:schemaRef ds:uri="http://schemas.openxmlformats.org/package/2006/metadata/core-properties"/>
    <ds:schemaRef ds:uri="ac457149-16c0-4441-a494-2f75bdb238e5"/>
    <ds:schemaRef ds:uri="3905ffbc-9aeb-4d51-937e-ee1e2cf00671"/>
    <ds:schemaRef ds:uri="http://www.w3.org/XML/1998/namespace"/>
    <ds:schemaRef ds:uri="http://purl.org/dc/dcmitype/"/>
  </ds:schemaRefs>
</ds:datastoreItem>
</file>

<file path=customXml/itemProps3.xml><?xml version="1.0" encoding="utf-8"?>
<ds:datastoreItem xmlns:ds="http://schemas.openxmlformats.org/officeDocument/2006/customXml" ds:itemID="{5D632407-AED8-419E-A8FB-8BB542227836}">
  <ds:schemaRefs>
    <ds:schemaRef ds:uri="http://schemas.microsoft.com/sharepoint/events"/>
  </ds:schemaRefs>
</ds:datastoreItem>
</file>

<file path=customXml/itemProps4.xml><?xml version="1.0" encoding="utf-8"?>
<ds:datastoreItem xmlns:ds="http://schemas.openxmlformats.org/officeDocument/2006/customXml" ds:itemID="{DBAED7D9-FFEA-4825-A902-7859E6E7A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ac457149-16c0-4441-a494-2f75bdb23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1_Dokumentenstandard_SoD_quer.dotx</Template>
  <TotalTime>0</TotalTime>
  <Pages>5</Pages>
  <Words>646</Words>
  <Characters>4072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Prozessbeschreibung: «Rechnungen med. Behandlungskosten prüfen»</vt:lpstr>
    </vt:vector>
  </TitlesOfParts>
  <Company>Soziale Dienste Stadt Zürich</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Prozessbeschreibung: «Rechnungen med. Behandlungskosten prüfen»</dc:title>
  <dc:creator>Roffler Thomas (SD)</dc:creator>
  <cp:lastModifiedBy>Nadine Grunder (sozgnn)</cp:lastModifiedBy>
  <cp:revision>2</cp:revision>
  <cp:lastPrinted>2014-12-18T13:15:00Z</cp:lastPrinted>
  <dcterms:created xsi:type="dcterms:W3CDTF">2021-06-21T05:41:00Z</dcterms:created>
  <dcterms:modified xsi:type="dcterms:W3CDTF">2021-06-21T05:41:00Z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0x0101003BC4A12EDDBCA74B99A939E4C81027DF00E2B061C38FFE9644A1957B08576496FA</vt:lpwstr>
  </property>
  <property fmtid="{D5CDD505-2E9C-101B-9397-08002B2CF9AE}" pid="3" name="_dlc_DocId">
    <vt:lpwstr>SDSOD-119-770</vt:lpwstr>
  </property>
  <property fmtid="{D5CDD505-2E9C-101B-9397-08002B2CF9AE}" pid="4" name="_dlc_DocIdUrl">
    <vt:lpwstr>http://portal.sd.intra.stzh.ch/sod/regelwerk/_layouts/DocIdRedir.aspx?ID=SDSOD-119-770, SDSOD-119-770</vt:lpwstr>
  </property>
  <property fmtid="{D5CDD505-2E9C-101B-9397-08002B2CF9AE}" pid="5" name="_dlc_DocIdItemGuid">
    <vt:lpwstr>b4ad1846-55db-4281-99db-da925c6699bf</vt:lpwstr>
  </property>
  <property fmtid="{D5CDD505-2E9C-101B-9397-08002B2CF9AE}" pid="6" name="WorkflowChangePath">
    <vt:lpwstr>1dbebda2-0151-441b-bad0-3a4bc52a6e32,3;1dbebda2-0151-441b-bad0-3a4bc52a6e32,6;1dbebda2-0151-441b-bad0-3a4bc52a6e32,8;7dbe9e3d-1110-41fa-836b-195a3e49061c,6;7dbe9e3d-1110-41fa-836b-195a3e49061c,8;</vt:lpwstr>
  </property>
  <property fmtid="{D5CDD505-2E9C-101B-9397-08002B2CF9AE}" pid="7" name="Kontaktperson für SOD KOM">
    <vt:lpwstr>6;#i:0#.w|global\sozhhi</vt:lpwstr>
  </property>
  <property fmtid="{D5CDD505-2E9C-101B-9397-08002B2CF9AE}" pid="8" name="Order">
    <vt:r8>77000</vt:r8>
  </property>
  <property fmtid="{D5CDD505-2E9C-101B-9397-08002B2CF9AE}" pid="9" name="Verantwortliche/r Autor/in">
    <vt:lpwstr/>
  </property>
  <property fmtid="{D5CDD505-2E9C-101B-9397-08002B2CF9AE}" pid="10" name="Zu konsultierende/-s Fachressort/-s">
    <vt:lpwstr/>
  </property>
  <property fmtid="{D5CDD505-2E9C-101B-9397-08002B2CF9AE}" pid="11" name="xd_ProgID">
    <vt:lpwstr/>
  </property>
  <property fmtid="{D5CDD505-2E9C-101B-9397-08002B2CF9AE}" pid="12" name="TemplateUrl">
    <vt:lpwstr/>
  </property>
  <property fmtid="{D5CDD505-2E9C-101B-9397-08002B2CF9AE}" pid="13" name="Bemerkungen">
    <vt:lpwstr/>
  </property>
  <property fmtid="{D5CDD505-2E9C-101B-9397-08002B2CF9AE}" pid="14" name="Federführende/s Fachressort/Einheit">
    <vt:lpwstr>5</vt:lpwstr>
  </property>
  <property fmtid="{D5CDD505-2E9C-101B-9397-08002B2CF9AE}" pid="15" name="Herausgabe bei Informationszugangsgesuchen">
    <vt:lpwstr>kann herausgegeben werden</vt:lpwstr>
  </property>
  <property fmtid="{D5CDD505-2E9C-101B-9397-08002B2CF9AE}" pid="16" name="Fachkonzept">
    <vt:lpwstr>9</vt:lpwstr>
  </property>
  <property fmtid="{D5CDD505-2E9C-101B-9397-08002B2CF9AE}" pid="17" name="Thematische Zuordnung Fachressort(s)">
    <vt:lpwstr>5;#</vt:lpwstr>
  </property>
</Properties>
</file>