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D29D8" w14:textId="77777777" w:rsidR="000B50CF" w:rsidRPr="0016180A" w:rsidRDefault="000B50CF" w:rsidP="000B50CF">
      <w:pPr>
        <w:spacing w:line="240" w:lineRule="auto"/>
        <w:jc w:val="both"/>
        <w:rPr>
          <w:rFonts w:ascii="Calibri" w:hAnsi="Calibri" w:cs="Calibri"/>
          <w:sz w:val="18"/>
          <w:szCs w:val="18"/>
        </w:rPr>
      </w:pPr>
      <w:r w:rsidRPr="00026005">
        <w:rPr>
          <w:rFonts w:ascii="Calibri" w:hAnsi="Calibri" w:cs="Calibri"/>
          <w:b/>
          <w:bCs/>
          <w:sz w:val="18"/>
          <w:szCs w:val="18"/>
        </w:rPr>
        <w:t>Case Study Background Ensure to Insure (ETI)</w:t>
      </w:r>
      <w:r w:rsidRPr="0016180A">
        <w:rPr>
          <w:rFonts w:ascii="Calibri" w:hAnsi="Calibri" w:cs="Calibri"/>
          <w:sz w:val="18"/>
          <w:szCs w:val="18"/>
        </w:rPr>
        <w:t xml:space="preserve"> is a leading insurance company that provides a range of insurance plans in the health, building, marine and aviation sectors to its 25 million globally dispersed customer base. The company consists of a workforce of around 5,000 employees and generates annual revenue of more than 350,000,000 USD. </w:t>
      </w:r>
    </w:p>
    <w:p w14:paraId="62548220" w14:textId="77777777" w:rsidR="000B50CF" w:rsidRPr="0016180A" w:rsidRDefault="000B50CF" w:rsidP="000B50CF">
      <w:pPr>
        <w:spacing w:line="240" w:lineRule="auto"/>
        <w:jc w:val="both"/>
        <w:rPr>
          <w:rFonts w:ascii="Calibri" w:hAnsi="Calibri" w:cs="Calibri"/>
          <w:b/>
          <w:bCs/>
          <w:sz w:val="18"/>
          <w:szCs w:val="18"/>
        </w:rPr>
      </w:pPr>
      <w:r w:rsidRPr="0016180A">
        <w:rPr>
          <w:rFonts w:ascii="Calibri" w:hAnsi="Calibri" w:cs="Calibri"/>
          <w:b/>
          <w:bCs/>
          <w:sz w:val="18"/>
          <w:szCs w:val="18"/>
        </w:rPr>
        <w:t xml:space="preserve">History </w:t>
      </w:r>
    </w:p>
    <w:p w14:paraId="282569B4" w14:textId="77777777" w:rsidR="000B50CF" w:rsidRPr="0016180A" w:rsidRDefault="000B50CF" w:rsidP="000B50CF">
      <w:pPr>
        <w:spacing w:line="240" w:lineRule="auto"/>
        <w:jc w:val="both"/>
        <w:rPr>
          <w:rFonts w:ascii="Calibri" w:hAnsi="Calibri" w:cs="Calibri"/>
          <w:sz w:val="18"/>
          <w:szCs w:val="18"/>
        </w:rPr>
      </w:pPr>
      <w:r w:rsidRPr="0016180A">
        <w:rPr>
          <w:rFonts w:ascii="Calibri" w:hAnsi="Calibri" w:cs="Calibri"/>
          <w:sz w:val="16"/>
          <w:szCs w:val="16"/>
        </w:rPr>
        <w:t>ETI started its life as an exclusive health insurance provider 50 years ago. As a result of multiple acquisitions over the past 30 years, ETI has extended its services to include property and casualty insurance plans in the building, marine and aviation sectors. Each of its four sectors is comprised of a core team of specialized and experienced agents, actuaries, underwriters and claim adjusters. The agents generate the company’s revenue by selling policies while the actuaries are responsible for risk assessment, coming up with new insurance plans and revising existing plans. The actuaries also perform what-if analyses and make use of dashboards and scorecards for scenario evaluation. The underwriters evaluate new insurance applications and decide on the premium amount. The claim adjusters deal with investigating claims made against a policy and arrive at a settlement amount for the policyholder. Some of the key departments within ETI include the underwriting, claims settlement, customer care, legal, marketing, human resource, accounts and IT departments. Both prospective and existing customers generally contact ETI’s customer care department via telephone, although contact via email and social media has increased exponentially over the past few years. ETI strives to distinguish itself by providing competitive policies and premium customer service that does not end once a policy has been sold. Its management believes that doing so helps to achieve increased levels of customer acquisition and retention. ETI relies heavily on its actuaries to create insurance plans that reflect the needs of its customers.</w:t>
      </w:r>
      <w:r w:rsidRPr="0016180A">
        <w:rPr>
          <w:rFonts w:ascii="Calibri" w:hAnsi="Calibri" w:cs="Calibri"/>
          <w:sz w:val="18"/>
          <w:szCs w:val="18"/>
        </w:rPr>
        <w:t xml:space="preserve"> </w:t>
      </w:r>
    </w:p>
    <w:p w14:paraId="58659369" w14:textId="77777777" w:rsidR="000B50CF" w:rsidRPr="00CE097F" w:rsidRDefault="000B50CF" w:rsidP="000B50CF">
      <w:pPr>
        <w:spacing w:line="240" w:lineRule="auto"/>
        <w:jc w:val="both"/>
        <w:rPr>
          <w:rFonts w:ascii="Calibri" w:hAnsi="Calibri" w:cs="Calibri"/>
          <w:b/>
          <w:bCs/>
          <w:sz w:val="18"/>
          <w:szCs w:val="18"/>
        </w:rPr>
      </w:pPr>
      <w:r w:rsidRPr="00CE097F">
        <w:rPr>
          <w:rFonts w:ascii="Calibri" w:hAnsi="Calibri" w:cs="Calibri"/>
          <w:b/>
          <w:bCs/>
          <w:sz w:val="18"/>
          <w:szCs w:val="18"/>
        </w:rPr>
        <w:t xml:space="preserve">Technical Infrastructure and Automation Environment </w:t>
      </w:r>
    </w:p>
    <w:p w14:paraId="496F4DE0" w14:textId="77777777" w:rsidR="000B50CF" w:rsidRPr="0016180A" w:rsidRDefault="000B50CF" w:rsidP="000B50CF">
      <w:pPr>
        <w:spacing w:line="240" w:lineRule="auto"/>
        <w:jc w:val="both"/>
        <w:rPr>
          <w:rFonts w:ascii="Calibri" w:hAnsi="Calibri" w:cs="Calibri"/>
          <w:sz w:val="18"/>
          <w:szCs w:val="18"/>
        </w:rPr>
      </w:pPr>
      <w:r w:rsidRPr="0016180A">
        <w:rPr>
          <w:rFonts w:ascii="Calibri" w:hAnsi="Calibri" w:cs="Calibri"/>
          <w:sz w:val="18"/>
          <w:szCs w:val="18"/>
        </w:rPr>
        <w:t xml:space="preserve">ETI’s IT environment consists of a combination of client-server and mainframe platforms that support the execution of a number of systems, including policy quotation, policy administration, claims management, risk assessment, document management, billing, enterprise resource planning (ERP) and customer relationship management (CRM). The policy quotation system is used to create new insurance plans and to provide quotes to prospective customers. It is integrated with the website and customer care portal to provide website visitors and customer care agents the ability to obtain insurance quotes. The policy administration system handles all aspects of policy lifecycle management, including issuance, update, renewal and cancellation of policies. The claims management system deals with claim processing activities. A claim is registered when a policyholder makes a report, which is then assigned to a claim adjuster who analyzes the claim in light of the available information that was submitted when the claim was made, as well other background information obtained from different internal and external sources. Based on the analyzed information, the claim is settled following a certain set of business rules. The risk assessment system is used by the actuaries to assess any potential risk, such as a storm or a flood that could result in policyholders making claims. The risk assessment system enables probability-based risk evaluation that involves executing various mathematical and statistical models. The document management system serves as a central repository for all kinds of documents, including policies, claims, scanned documents and customer correspondence. The billing system keeps track of premium collection from customers and also generates various reminders for customers who have missed their payment via email and postal mail. The ERP system is used for day-to-day running of ETI, including human resource management and accounts. The CRM system records all aspects of customer communication via phone, email and postal mail and also provides a portal for call center agents for dealing with customer enquiries. Furthermore, it enables the marketing team to create, run and manage marketing campaigns. Data from these operational systems is exported to an Enterprise Data Warehouse (EDW) that is used to generate reports for financial and performance analysis. The EDW is also used to generate reports for different regulatory authorities to ensure continuous regulatory compliance. </w:t>
      </w:r>
    </w:p>
    <w:p w14:paraId="28076D06" w14:textId="77777777" w:rsidR="000B50CF" w:rsidRPr="0016180A" w:rsidRDefault="000B50CF" w:rsidP="000B50CF">
      <w:pPr>
        <w:spacing w:line="240" w:lineRule="auto"/>
        <w:jc w:val="both"/>
        <w:rPr>
          <w:rFonts w:ascii="Calibri" w:hAnsi="Calibri" w:cs="Calibri"/>
          <w:b/>
          <w:bCs/>
          <w:sz w:val="18"/>
          <w:szCs w:val="18"/>
        </w:rPr>
      </w:pPr>
      <w:r w:rsidRPr="0016180A">
        <w:rPr>
          <w:rFonts w:ascii="Calibri" w:hAnsi="Calibri" w:cs="Calibri"/>
          <w:b/>
          <w:bCs/>
          <w:sz w:val="18"/>
          <w:szCs w:val="18"/>
        </w:rPr>
        <w:t xml:space="preserve">Business Goals and Obstacles </w:t>
      </w:r>
    </w:p>
    <w:p w14:paraId="511D1AF5" w14:textId="77777777" w:rsidR="000B50CF" w:rsidRPr="0016180A" w:rsidRDefault="000B50CF" w:rsidP="000B50CF">
      <w:pPr>
        <w:spacing w:line="240" w:lineRule="auto"/>
        <w:jc w:val="both"/>
        <w:rPr>
          <w:rFonts w:ascii="Calibri" w:hAnsi="Calibri" w:cs="Calibri"/>
          <w:sz w:val="18"/>
          <w:szCs w:val="18"/>
        </w:rPr>
      </w:pPr>
      <w:r w:rsidRPr="0016180A">
        <w:rPr>
          <w:rFonts w:ascii="Calibri" w:hAnsi="Calibri" w:cs="Calibri"/>
          <w:sz w:val="18"/>
          <w:szCs w:val="18"/>
        </w:rPr>
        <w:t xml:space="preserve">Over the past few decades, the company’s profitability has been in decline. A committee comprised of senior managers was formed to investigate and make recommendations. The committee’s findings revealed that the main reason behind the </w:t>
      </w:r>
      <w:r w:rsidRPr="0016180A">
        <w:rPr>
          <w:rFonts w:ascii="Calibri" w:hAnsi="Calibri" w:cs="Calibri"/>
          <w:sz w:val="18"/>
          <w:szCs w:val="18"/>
        </w:rPr>
        <w:lastRenderedPageBreak/>
        <w:t xml:space="preserve">company’s deteriorating financial position is the increased number of fraudulent claims and the associated payments being made against them. These findings showed that the fraud committed has become complex and hard to detect because fraudsters have become more sophisticated and organized. Apart from incurring direct monetary loss, the costs related to the processing of fraudulent claims result in indirect loss. Another contributing factor is a significant upsurge in the occurrence of catastrophes such as floods, storms and epidemics, which have also increased the number of high-end genuine claims. Further reasons for declines in revenue include customer defection due to slow claims processing and insurance products that no longer match the needs of customers. The latter weakness has been exposed by the emergence of tech-savvy competitors that employ the use of telematics to provide personalized policies. The committee pointed out that the frequency with which the existing regulations change and new regulations are introduced has recently increased. The company has unfortunately been slow to respond and has not been able to ensure full and continuous compliance. Due to these shortcomings, ETI has had to pay heavy fines. The committee noted that yet another reason behind the company’s poor financial performance is that insurance plans are created and policies are underwritten without a thorough risk assessment. This has led to incorrect premiums being set and more payouts being made than anticipated. Currently, the shortfall between the collected premiums and the payouts made is compensated for with return on investments. However, this is not a long-term solution as it dilutes the profit made on investments. In addition, the insurance plans are generally based on the actuaries’ experience and analysis of the population as a whole, resulting in insurance plans that only apply to an average set of customers. Customers whose circumstances deviate from the average set are not interested in such insurance plans. The aforementioned reasons are also responsible for ETI’s falling share price and decrease in market share. Based on the committee’s findings, the following strategic goals are set by ETI’s directors: </w:t>
      </w:r>
    </w:p>
    <w:p w14:paraId="20742961" w14:textId="77777777" w:rsidR="000B50CF" w:rsidRPr="00CE097F" w:rsidRDefault="000B50CF" w:rsidP="000B50CF">
      <w:pPr>
        <w:pStyle w:val="ListParagraph"/>
        <w:numPr>
          <w:ilvl w:val="0"/>
          <w:numId w:val="2"/>
        </w:numPr>
        <w:spacing w:line="240" w:lineRule="auto"/>
        <w:jc w:val="both"/>
        <w:rPr>
          <w:rFonts w:ascii="Calibri" w:hAnsi="Calibri" w:cs="Calibri"/>
          <w:b/>
          <w:bCs/>
          <w:sz w:val="15"/>
          <w:szCs w:val="15"/>
        </w:rPr>
      </w:pPr>
      <w:r w:rsidRPr="00CE097F">
        <w:rPr>
          <w:rFonts w:ascii="Calibri" w:hAnsi="Calibri" w:cs="Calibri"/>
          <w:b/>
          <w:bCs/>
          <w:sz w:val="15"/>
          <w:szCs w:val="15"/>
        </w:rPr>
        <w:t xml:space="preserve">Decrease losses by (a) improving risk evaluation and maximizing risk mitigation, which applies to both creation of insurance plans and when new applications are screened at the time of issuing a policy, (b) implementing a proactive catastrophe management system that decreases the number of potential claims resulting from a calamity and (c) detecting fraudulent claims. </w:t>
      </w:r>
    </w:p>
    <w:p w14:paraId="6CBBAE0D" w14:textId="77777777" w:rsidR="000B50CF" w:rsidRPr="00CE097F" w:rsidRDefault="000B50CF" w:rsidP="000B50CF">
      <w:pPr>
        <w:pStyle w:val="ListParagraph"/>
        <w:numPr>
          <w:ilvl w:val="0"/>
          <w:numId w:val="2"/>
        </w:numPr>
        <w:spacing w:line="240" w:lineRule="auto"/>
        <w:jc w:val="both"/>
        <w:rPr>
          <w:rFonts w:ascii="Calibri" w:hAnsi="Calibri" w:cs="Calibri"/>
          <w:b/>
          <w:bCs/>
          <w:sz w:val="15"/>
          <w:szCs w:val="15"/>
        </w:rPr>
      </w:pPr>
      <w:r w:rsidRPr="00CE097F">
        <w:rPr>
          <w:rFonts w:ascii="Calibri" w:hAnsi="Calibri" w:cs="Calibri"/>
          <w:b/>
          <w:bCs/>
          <w:sz w:val="15"/>
          <w:szCs w:val="15"/>
        </w:rPr>
        <w:t xml:space="preserve">Decrease customer defection and improve customer retention with (a) speedy settlement of claims and (b) personalized and competitive policies based on individual circumstances rather than demographic generalization alone. </w:t>
      </w:r>
    </w:p>
    <w:p w14:paraId="0F2EC8B9" w14:textId="77777777" w:rsidR="0016180A" w:rsidRPr="0016180A" w:rsidRDefault="000B50CF" w:rsidP="000B50CF">
      <w:pPr>
        <w:pStyle w:val="ListParagraph"/>
        <w:numPr>
          <w:ilvl w:val="0"/>
          <w:numId w:val="2"/>
        </w:numPr>
        <w:spacing w:line="240" w:lineRule="auto"/>
        <w:jc w:val="both"/>
        <w:rPr>
          <w:rFonts w:ascii="Calibri" w:hAnsi="Calibri" w:cs="Calibri"/>
          <w:sz w:val="15"/>
          <w:szCs w:val="15"/>
        </w:rPr>
      </w:pPr>
      <w:r w:rsidRPr="00CE097F">
        <w:rPr>
          <w:rFonts w:ascii="Calibri" w:hAnsi="Calibri" w:cs="Calibri"/>
          <w:b/>
          <w:bCs/>
          <w:sz w:val="15"/>
          <w:szCs w:val="15"/>
        </w:rPr>
        <w:t>Achieve and maintain full regulatory compliance at all times by employing enhanced risk management techniques that can better predict risks, because the majority of regulations require accurate knowledge of risks in order to ensure compliance</w:t>
      </w:r>
      <w:r w:rsidRPr="0016180A">
        <w:rPr>
          <w:rFonts w:ascii="Calibri" w:hAnsi="Calibri" w:cs="Calibri"/>
          <w:sz w:val="15"/>
          <w:szCs w:val="15"/>
        </w:rPr>
        <w:t xml:space="preserve">. </w:t>
      </w:r>
    </w:p>
    <w:p w14:paraId="415950E1" w14:textId="4DDC156D" w:rsidR="000B50CF" w:rsidRPr="0016180A" w:rsidRDefault="000B50CF" w:rsidP="0016180A">
      <w:pPr>
        <w:spacing w:line="240" w:lineRule="auto"/>
        <w:jc w:val="both"/>
        <w:rPr>
          <w:rFonts w:ascii="Calibri" w:hAnsi="Calibri" w:cs="Calibri"/>
          <w:sz w:val="18"/>
          <w:szCs w:val="18"/>
        </w:rPr>
      </w:pPr>
      <w:r w:rsidRPr="0016180A">
        <w:rPr>
          <w:rFonts w:ascii="Calibri" w:hAnsi="Calibri" w:cs="Calibri"/>
          <w:sz w:val="18"/>
          <w:szCs w:val="18"/>
        </w:rPr>
        <w:t xml:space="preserve">After consulting with its IT team, the committee recommended the adoption of a data driven strategy with enhanced analytics to be applied across multiple business functions in such a way that different business processes take into account relevant internal and external data. In this way, decisions can be based on evidence rather than on experience and intuition alone. In particular, augmentation of large amounts of structured data with large amounts of unstructured data is stressed in support of performing deep yet timely data analyses. The committee asked the IT team if there are any existing obstacles that might prevent the implementation of the aforementioned strategy. The IT team was reminded of the financial constraints within which it needs to operate. In response to this, the team prepared a feasibility report that highlights the following obstacles: </w:t>
      </w:r>
    </w:p>
    <w:p w14:paraId="1215A290" w14:textId="72C31714" w:rsidR="000B50CF" w:rsidRPr="00480AB3" w:rsidRDefault="000B50CF" w:rsidP="000B50CF">
      <w:pPr>
        <w:pStyle w:val="ListParagraph"/>
        <w:numPr>
          <w:ilvl w:val="0"/>
          <w:numId w:val="1"/>
        </w:numPr>
        <w:spacing w:line="240" w:lineRule="auto"/>
        <w:jc w:val="both"/>
        <w:rPr>
          <w:rFonts w:ascii="Calibri" w:hAnsi="Calibri" w:cs="Calibri"/>
          <w:b/>
          <w:bCs/>
          <w:sz w:val="15"/>
          <w:szCs w:val="15"/>
        </w:rPr>
      </w:pPr>
      <w:r w:rsidRPr="00480AB3">
        <w:rPr>
          <w:rFonts w:ascii="Calibri" w:hAnsi="Calibri" w:cs="Calibri"/>
          <w:b/>
          <w:bCs/>
          <w:sz w:val="15"/>
          <w:szCs w:val="15"/>
        </w:rPr>
        <w:t>Acquiring, storing and processing unstructured data from internal and external data sources – Currently, only structured data is stored and processed, because the existing technology does not support the storage and processing of unstructured data.</w:t>
      </w:r>
    </w:p>
    <w:p w14:paraId="7644085C" w14:textId="385E3B4C" w:rsidR="000B50CF" w:rsidRPr="00480AB3" w:rsidRDefault="000B50CF" w:rsidP="000B50CF">
      <w:pPr>
        <w:pStyle w:val="ListParagraph"/>
        <w:numPr>
          <w:ilvl w:val="0"/>
          <w:numId w:val="1"/>
        </w:numPr>
        <w:spacing w:line="240" w:lineRule="auto"/>
        <w:jc w:val="both"/>
        <w:rPr>
          <w:rFonts w:ascii="Calibri" w:hAnsi="Calibri" w:cs="Calibri"/>
          <w:b/>
          <w:bCs/>
          <w:sz w:val="15"/>
          <w:szCs w:val="15"/>
        </w:rPr>
      </w:pPr>
      <w:r w:rsidRPr="00480AB3">
        <w:rPr>
          <w:rFonts w:ascii="Calibri" w:hAnsi="Calibri" w:cs="Calibri"/>
          <w:b/>
          <w:bCs/>
          <w:sz w:val="15"/>
          <w:szCs w:val="15"/>
        </w:rPr>
        <w:t>Processing large amounts of data in a timely manner – Although the EDW is used to generate reports based on historical data, the amount of data processed cannot be classified as large, and the reports take a long time to generate.</w:t>
      </w:r>
    </w:p>
    <w:p w14:paraId="6E1249BC" w14:textId="77777777" w:rsidR="000B50CF" w:rsidRPr="00480AB3" w:rsidRDefault="000B50CF" w:rsidP="000B50CF">
      <w:pPr>
        <w:pStyle w:val="ListParagraph"/>
        <w:numPr>
          <w:ilvl w:val="0"/>
          <w:numId w:val="1"/>
        </w:numPr>
        <w:spacing w:line="240" w:lineRule="auto"/>
        <w:jc w:val="both"/>
        <w:rPr>
          <w:rFonts w:ascii="Calibri" w:hAnsi="Calibri" w:cs="Calibri"/>
          <w:b/>
          <w:bCs/>
          <w:sz w:val="18"/>
          <w:szCs w:val="18"/>
        </w:rPr>
      </w:pPr>
      <w:r w:rsidRPr="00480AB3">
        <w:rPr>
          <w:rFonts w:ascii="Calibri" w:hAnsi="Calibri" w:cs="Calibri"/>
          <w:b/>
          <w:bCs/>
          <w:sz w:val="15"/>
          <w:szCs w:val="15"/>
        </w:rPr>
        <w:t>Processing multiple types of data and combining structured data with unstructured data – Multiple types of unstructured data are produced, such as textual documents and call center logs that cannot currently be processed due to their unstructured nature. Secondly, structured data is used in isolation for all types of analyses.</w:t>
      </w:r>
      <w:r w:rsidRPr="00480AB3">
        <w:rPr>
          <w:rFonts w:ascii="Calibri" w:hAnsi="Calibri" w:cs="Calibri"/>
          <w:b/>
          <w:bCs/>
          <w:sz w:val="18"/>
          <w:szCs w:val="18"/>
        </w:rPr>
        <w:t xml:space="preserve"> </w:t>
      </w:r>
    </w:p>
    <w:p w14:paraId="0D19CB6F" w14:textId="05ECF226" w:rsidR="002E6E1B" w:rsidRPr="0016180A" w:rsidRDefault="000B50CF" w:rsidP="000B50CF">
      <w:pPr>
        <w:spacing w:line="240" w:lineRule="auto"/>
        <w:jc w:val="both"/>
        <w:rPr>
          <w:rFonts w:ascii="Calibri" w:hAnsi="Calibri" w:cs="Calibri"/>
          <w:sz w:val="18"/>
          <w:szCs w:val="18"/>
        </w:rPr>
      </w:pPr>
      <w:r w:rsidRPr="0016180A">
        <w:rPr>
          <w:rFonts w:ascii="Calibri" w:hAnsi="Calibri" w:cs="Calibri"/>
          <w:sz w:val="18"/>
          <w:szCs w:val="18"/>
        </w:rPr>
        <w:t>The IT team concluded by issuing a recommendation that ETI adopt Big Data as the primary means of overcoming these impediments in support of achieving the set goals</w:t>
      </w:r>
    </w:p>
    <w:sectPr w:rsidR="002E6E1B" w:rsidRPr="0016180A">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11F93"/>
    <w:multiLevelType w:val="hybridMultilevel"/>
    <w:tmpl w:val="7ADCDE90"/>
    <w:lvl w:ilvl="0" w:tplc="9CDC0E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D85435A"/>
    <w:multiLevelType w:val="hybridMultilevel"/>
    <w:tmpl w:val="43CEC2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02428216">
    <w:abstractNumId w:val="1"/>
  </w:num>
  <w:num w:numId="2" w16cid:durableId="1757479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0CF"/>
    <w:rsid w:val="00026005"/>
    <w:rsid w:val="000B50CF"/>
    <w:rsid w:val="0016180A"/>
    <w:rsid w:val="002304C7"/>
    <w:rsid w:val="002E6E1B"/>
    <w:rsid w:val="00480AB3"/>
    <w:rsid w:val="00512347"/>
    <w:rsid w:val="005F12BB"/>
    <w:rsid w:val="007705D3"/>
    <w:rsid w:val="00CE097F"/>
    <w:rsid w:val="00E90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B29B"/>
  <w15:chartTrackingRefBased/>
  <w15:docId w15:val="{6DF4FE41-8466-4831-A774-C8E515CCF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0B50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0B50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0B50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0B50C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0B50CF"/>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0B50CF"/>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0B50CF"/>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B50CF"/>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B50CF"/>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0C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0B50C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B50C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B50C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B50CF"/>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0B50C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0B50CF"/>
    <w:rPr>
      <w:rFonts w:cstheme="majorBidi"/>
      <w:b/>
      <w:bCs/>
      <w:color w:val="595959" w:themeColor="text1" w:themeTint="A6"/>
    </w:rPr>
  </w:style>
  <w:style w:type="character" w:customStyle="1" w:styleId="Heading8Char">
    <w:name w:val="Heading 8 Char"/>
    <w:basedOn w:val="DefaultParagraphFont"/>
    <w:link w:val="Heading8"/>
    <w:uiPriority w:val="9"/>
    <w:semiHidden/>
    <w:rsid w:val="000B50CF"/>
    <w:rPr>
      <w:rFonts w:cstheme="majorBidi"/>
      <w:color w:val="595959" w:themeColor="text1" w:themeTint="A6"/>
    </w:rPr>
  </w:style>
  <w:style w:type="character" w:customStyle="1" w:styleId="Heading9Char">
    <w:name w:val="Heading 9 Char"/>
    <w:basedOn w:val="DefaultParagraphFont"/>
    <w:link w:val="Heading9"/>
    <w:uiPriority w:val="9"/>
    <w:semiHidden/>
    <w:rsid w:val="000B50CF"/>
    <w:rPr>
      <w:rFonts w:eastAsiaTheme="majorEastAsia" w:cstheme="majorBidi"/>
      <w:color w:val="595959" w:themeColor="text1" w:themeTint="A6"/>
    </w:rPr>
  </w:style>
  <w:style w:type="paragraph" w:styleId="Title">
    <w:name w:val="Title"/>
    <w:basedOn w:val="Normal"/>
    <w:next w:val="Normal"/>
    <w:link w:val="TitleChar"/>
    <w:uiPriority w:val="10"/>
    <w:qFormat/>
    <w:rsid w:val="000B50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0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0C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B50CF"/>
    <w:pPr>
      <w:spacing w:before="160"/>
      <w:jc w:val="center"/>
    </w:pPr>
    <w:rPr>
      <w:i/>
      <w:iCs/>
      <w:color w:val="404040" w:themeColor="text1" w:themeTint="BF"/>
    </w:rPr>
  </w:style>
  <w:style w:type="character" w:customStyle="1" w:styleId="QuoteChar">
    <w:name w:val="Quote Char"/>
    <w:basedOn w:val="DefaultParagraphFont"/>
    <w:link w:val="Quote"/>
    <w:uiPriority w:val="29"/>
    <w:rsid w:val="000B50CF"/>
    <w:rPr>
      <w:i/>
      <w:iCs/>
      <w:color w:val="404040" w:themeColor="text1" w:themeTint="BF"/>
    </w:rPr>
  </w:style>
  <w:style w:type="paragraph" w:styleId="ListParagraph">
    <w:name w:val="List Paragraph"/>
    <w:basedOn w:val="Normal"/>
    <w:uiPriority w:val="34"/>
    <w:qFormat/>
    <w:rsid w:val="000B50CF"/>
    <w:pPr>
      <w:ind w:left="720"/>
      <w:contextualSpacing/>
    </w:pPr>
  </w:style>
  <w:style w:type="character" w:styleId="IntenseEmphasis">
    <w:name w:val="Intense Emphasis"/>
    <w:basedOn w:val="DefaultParagraphFont"/>
    <w:uiPriority w:val="21"/>
    <w:qFormat/>
    <w:rsid w:val="000B50CF"/>
    <w:rPr>
      <w:i/>
      <w:iCs/>
      <w:color w:val="0F4761" w:themeColor="accent1" w:themeShade="BF"/>
    </w:rPr>
  </w:style>
  <w:style w:type="paragraph" w:styleId="IntenseQuote">
    <w:name w:val="Intense Quote"/>
    <w:basedOn w:val="Normal"/>
    <w:next w:val="Normal"/>
    <w:link w:val="IntenseQuoteChar"/>
    <w:uiPriority w:val="30"/>
    <w:qFormat/>
    <w:rsid w:val="000B5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0CF"/>
    <w:rPr>
      <w:i/>
      <w:iCs/>
      <w:color w:val="0F4761" w:themeColor="accent1" w:themeShade="BF"/>
    </w:rPr>
  </w:style>
  <w:style w:type="character" w:styleId="IntenseReference">
    <w:name w:val="Intense Reference"/>
    <w:basedOn w:val="DefaultParagraphFont"/>
    <w:uiPriority w:val="32"/>
    <w:qFormat/>
    <w:rsid w:val="000B50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1454</Words>
  <Characters>8292</Characters>
  <Application>Microsoft Office Word</Application>
  <DocSecurity>0</DocSecurity>
  <Lines>69</Lines>
  <Paragraphs>19</Paragraphs>
  <ScaleCrop>false</ScaleCrop>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ahmed</dc:creator>
  <cp:keywords/>
  <dc:description/>
  <cp:lastModifiedBy>awais ahmed</cp:lastModifiedBy>
  <cp:revision>7</cp:revision>
  <dcterms:created xsi:type="dcterms:W3CDTF">2026-03-16T06:10:00Z</dcterms:created>
  <dcterms:modified xsi:type="dcterms:W3CDTF">2026-03-16T06:17:00Z</dcterms:modified>
</cp:coreProperties>
</file>