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Arial"/>
          <w:b/>
          <w:color w:val="000000"/>
          <w:sz w:val="40"/>
        </w:rPr>
        <w:t>Gesamtsystemarchitektur</w:t>
      </w:r>
    </w:p>
    <w:p>
      <w:pPr>
        <w:spacing w:after="40"/>
        <w:jc w:val="center"/>
      </w:pPr>
      <w:r>
        <w:rPr>
          <w:rFonts w:ascii="Arial" w:hAnsi="Arial" w:eastAsia="Arial"/>
          <w:i/>
          <w:color w:val="000000"/>
          <w:sz w:val="21"/>
        </w:rPr>
        <w:t>World Engine — Overall System Architecture</w:t>
      </w:r>
    </w:p>
    <w:p>
      <w:pPr>
        <w:spacing w:after="100"/>
        <w:jc w:val="center"/>
      </w:pPr>
      <w:r>
        <w:rPr>
          <w:rFonts w:ascii="Arial" w:hAnsi="Arial" w:eastAsia="Arial"/>
          <w:b/>
          <w:color w:val="000000"/>
          <w:sz w:val="23"/>
        </w:rPr>
        <w:t>World Engine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173"/>
        <w:gridCol w:w="5763"/>
      </w:tblGrid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Projekt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Gesamtsystemarchitektur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Dokument-ID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ARCH-001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Version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v1.4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Architecture Audited Complete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Datum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2026-09-02</w:t>
            </w:r>
          </w:p>
        </w:tc>
      </w:tr>
      <w:tr>
        <w:trPr>
          <w:cantSplit w:val="true"/>
        </w:trPr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Autor</w:t>
            </w:r>
          </w:p>
        </w:tc>
        <w:tc>
          <w:tcPr>
            <w:tcW w:type="dxa" w:w="576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1. Zweck und Geltungsbereich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Dieses Dokument fixiert die kanonische Architektur von World Engine v1.0: einen modularen Monolithen im Hauptprozess mit einem optionalen separaten Local-AI-Prozess.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Beschrieben werden Systemgrenzen, Owner, Contracts und zulässige Beziehungen.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Klassendetails, SQL-Schemata und Game-SDK-Details liegen außerhalb dieses Dokuments.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2. Beziehungssemantik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83"/>
        <w:gridCol w:w="7353"/>
      </w:tblGrid>
      <w:tr>
        <w:trPr>
          <w:cantSplit w:val="true"/>
          <w:tblHeader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Typ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Bedeutung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Static dependency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Implementierungsabhängigkeit von einem öffentlichen Contract.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Runtime call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Aufruf zur Laufzeit; definiert allein keine static dependency.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Event relation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Producer/Subscriber über die Event Engine.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Data flow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Datenbewegung ohne Übergang von Ownership.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Ownership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Verantwortung für Zustand, Policy oder Semantik.</w:t>
            </w:r>
          </w:p>
        </w:tc>
      </w:tr>
      <w:tr>
        <w:trPr>
          <w:cantSplit w:val="true"/>
        </w:trPr>
        <w:tc>
          <w:tcPr>
            <w:tcW w:type="dxa" w:w="258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Lifecycle wiring</w:t>
            </w:r>
          </w:p>
        </w:tc>
        <w:tc>
          <w:tcPr>
            <w:tcW w:type="dxa" w:w="735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Konstruktion, Start und Stopp durch Host/Composition Root.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3. Systemgrenze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Game Runtime und AI Provider sind externe Systeme.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Game Adapter isoliert das Game SDK; der AI Adapter isoliert Provider SDKs.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SQLite ist nur über Repository Implementations und dedizierte Persistence Ports erreichbar.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4. Composition und Lifecycle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Application Host / Composition Root konstruiert Komponenten, wählt Configuration/Game Profile, bindet Ports, aggregiert Application Readiness und steuert Startup/Shutdown. Der Host ist kein Service Locator.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5. Kanonische Layer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88"/>
        <w:gridCol w:w="4173"/>
        <w:gridCol w:w="3875"/>
      </w:tblGrid>
      <w:tr>
        <w:trPr>
          <w:cantSplit w:val="true"/>
          <w:tblHeader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Layer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Komponenten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Grenze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Integration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Game Adapter; Plugin Detection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Übersetzung game-spezifischer Daten und Evidence.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Coordination / Application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Core; Event Engine; Scheduler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Orchestrierung, Events und Zeit.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Simulation / Domain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Memory; Character; Dialogue; Relationship; Organization; Economy; Politics; Quest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Ownership des Domain-Zustands.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/ Media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Adapter; Context Manager; Provider Abstraction; Voice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Capability und Media Ports.</w:t>
            </w:r>
          </w:p>
        </w:tc>
      </w:tr>
      <w:tr>
        <w:trPr>
          <w:cantSplit w:val="true"/>
        </w:trPr>
        <w:tc>
          <w:tcPr>
            <w:tcW w:type="dxa" w:w="18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Persistence</w:t>
            </w:r>
          </w:p>
        </w:tc>
        <w:tc>
          <w:tcPr>
            <w:tcW w:type="dxa" w:w="4173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Save Manager; Repositories; Database; Migrations; Backups</w:t>
            </w:r>
          </w:p>
        </w:tc>
        <w:tc>
          <w:tcPr>
            <w:tcW w:type="dxa" w:w="3875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Artefakte, Speicherung und Restore.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6. Zentrale Contracts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Game Runtime -&gt; Game Adapter -&gt; Game Ingress Port -&gt; Core/Application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Game Output/Capability Port &lt;- Game Adapter</w:t>
      </w:r>
      <w:r>
        <w:br/>
      </w:r>
      <w:r>
        <w:rPr>
          <w:rFonts w:ascii="Consolas" w:hAnsi="Consolas" w:eastAsia="Consolas"/>
          <w:color w:val="000000"/>
          <w:sz w:val="15"/>
        </w:rPr>
        <w:t>Core/Application -&gt; Dialogue Use-Case Port &lt;- Dialogue implementation</w:t>
      </w:r>
      <w:r>
        <w:br/>
      </w:r>
      <w:r>
        <w:rPr>
          <w:rFonts w:ascii="Consolas" w:hAnsi="Consolas" w:eastAsia="Consolas"/>
          <w:color w:val="000000"/>
          <w:sz w:val="15"/>
        </w:rPr>
        <w:t>Core -&gt; Save Manager Command Contract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 Ports gehören zur jeweiligen Application Boundary; Core importiert keine konkreten Implementierungen.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7. Events und Scheduling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Die Event Engine verarbeitet Semantic Events und ist kein Generic RPC. Der Scheduler hängt nicht von Core ab und besitzt keine Persistence Policy.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Core -&gt; Scheduler control contract</w:t>
      </w:r>
      <w:r>
        <w:br/>
      </w:r>
      <w:r>
        <w:rPr>
          <w:rFonts w:ascii="Consolas" w:hAnsi="Consolas" w:eastAsia="Consolas"/>
          <w:color w:val="000000"/>
          <w:sz w:val="15"/>
        </w:rPr>
        <w:t>Scheduler -&gt; Event Engine : AutosaveDue</w:t>
      </w:r>
      <w:r>
        <w:br/>
      </w:r>
      <w:r>
        <w:rPr>
          <w:rFonts w:ascii="Consolas" w:hAnsi="Consolas" w:eastAsia="Consolas"/>
          <w:color w:val="000000"/>
          <w:sz w:val="15"/>
        </w:rPr>
        <w:t>Event Engine -&gt; Save Manager subscriber (event relation)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8. Daten, Save und Restore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Domain Owner besitzen Zustand und dedizierte Repository Contracts.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Save Manager koordiniert Snapshot/Artifact/Restore über injizierte SaveParticipant-Abstraktionen.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Restore folgt stage-all -&gt; cross-validate -&gt; atomic logical activation; Core sieht nur High-Level Load und Typed Outcome.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9. AI und Medien</w:t>
      </w:r>
    </w:p>
    <w:p>
      <w:pPr>
        <w:keepLines/>
        <w:spacing w:before="30" w:after="60" w:line="240" w:lineRule="auto"/>
        <w:ind w:left="115" w:right="58"/>
        <w:shd w:fill="F2F2F2"/>
      </w:pPr>
      <w:r>
        <w:rPr>
          <w:rFonts w:ascii="Consolas" w:hAnsi="Consolas" w:eastAsia="Consolas"/>
          <w:color w:val="000000"/>
          <w:sz w:val="15"/>
        </w:rPr>
        <w:t>Approved Consumer -&gt; AI Adapter -&gt; Context Manager -&gt; Provider Abstraction -&gt; Provider</w:t>
      </w:r>
      <w:r>
        <w:br/>
      </w:r>
      <w:r>
        <w:rPr>
          <w:rFonts w:ascii="Consolas" w:hAnsi="Consolas" w:eastAsia="Consolas"/>
          <w:color w:val="000000"/>
          <w:sz w:val="15"/>
        </w:rPr>
        <w:t>Context Manager -&gt; Memory Read / Context Source Port &lt;- Memory Engine</w:t>
      </w:r>
      <w:r>
        <w:br/>
      </w:r>
      <w:r>
        <w:rPr>
          <w:rFonts w:ascii="Consolas" w:hAnsi="Consolas" w:eastAsia="Consolas"/>
          <w:color w:val="000000"/>
          <w:sz w:val="15"/>
        </w:rPr>
        <w:t>Dialogue -&gt; Speech Output Port &lt;- Voice Engine</w:t>
      </w:r>
    </w:p>
    <w:p>
      <w:pPr>
        <w:widowControl/>
        <w:spacing w:after="46"/>
      </w:pPr>
      <w:r>
        <w:rPr>
          <w:rFonts w:ascii="Arial" w:hAnsi="Arial" w:eastAsia="Arial"/>
          <w:color w:val="000000"/>
        </w:rPr>
        <w:t>AI ist nicht autoritativ und hat keinen direkten Zugriff auf Database, Save oder Game APIs. Core ist kein generischer AI Consumer.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10. Readiness und Resilienz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Component Lifecycle, Component Readiness, Core Readiness und Application Outcome sind getrennt.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Host aggregiert Ready / Degraded / Startup Failed / Recovery Required.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Der Ausfall optionaler AI Capability ändert den Core Lifecycle nicht automatisch.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11. Verbindliche Invarianten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88"/>
        <w:gridCol w:w="8148"/>
      </w:tblGrid>
      <w:tr>
        <w:trPr>
          <w:cantSplit w:val="true"/>
          <w:tblHeader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ID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Invariante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SYS-001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Keine Implementation Dependency Cycles.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SYS-002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Kein Service Locator und keine globale mutable Registry.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SYS-003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Kein direkter Domain/Integration-Zugriff auf SQLite oder Game/Provider SDKs.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SYS-004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Jeder Pfeil ist mit seinem Beziehungstyp gekennzeichnet.</w:t>
            </w:r>
          </w:p>
        </w:tc>
      </w:tr>
      <w:tr>
        <w:trPr>
          <w:cantSplit w:val="true"/>
        </w:trPr>
        <w:tc>
          <w:tcPr>
            <w:tcW w:type="dxa" w:w="178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SYS-005</w:t>
            </w:r>
          </w:p>
        </w:tc>
        <w:tc>
          <w:tcPr>
            <w:tcW w:type="dxa" w:w="8148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AI ist nicht autoritativ; Partial Restore ist kein Erfolg.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6"/>
        </w:rPr>
        <w:t>12. Akzeptanz und Historie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ARCH-002–012 und MOD-001 verwenden dasselbe Ownership/Dependency-Modell.</w:t>
      </w:r>
    </w:p>
    <w:p>
      <w:pPr>
        <w:pStyle w:val="ListBullet"/>
        <w:keepLines/>
      </w:pPr>
      <w:r>
        <w:rPr>
          <w:rFonts w:ascii="Arial" w:hAnsi="Arial" w:eastAsia="Arial"/>
          <w:color w:val="000000"/>
        </w:rPr>
        <w:t>RU/DE Semantic Parity, Render QA und Cycle Check sind Merge Gates.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590"/>
        <w:gridCol w:w="2186"/>
        <w:gridCol w:w="6160"/>
      </w:tblGrid>
      <w:tr>
        <w:trPr>
          <w:cantSplit w:val="true"/>
          <w:tblHeader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Version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Datum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  <w:shd w:fill="D9E2F3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000000"/>
                <w:sz w:val="14"/>
              </w:rPr>
              <w:t>Änderungen</w:t>
            </w:r>
          </w:p>
        </w:tc>
      </w:tr>
      <w:tr>
        <w:trPr>
          <w:cantSplit w:val="true"/>
        </w:trPr>
        <w:tc>
          <w:tcPr>
            <w:tcW w:type="dxa" w:w="159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v1.4</w:t>
            </w:r>
          </w:p>
        </w:tc>
        <w:tc>
          <w:tcPr>
            <w:tcW w:type="dxa" w:w="2186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2026-09-02</w:t>
            </w:r>
          </w:p>
        </w:tc>
        <w:tc>
          <w:tcPr>
            <w:tcW w:type="dxa" w:w="6160"/>
            <w:tcMar>
              <w:top w:w="45" w:type="dxa"/>
              <w:start w:w="75" w:type="dxa"/>
              <w:bottom w:w="45" w:type="dxa"/>
              <w:end w:w="7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4"/>
              </w:rPr>
              <w:t>Vollständige Regeneration nach AUDIT-008–010; Downstream-Prüfungen AUDIT-014/015/018/021 berücksichtigt.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5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/>
      <w:ind w:left="346" w:hanging="20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ARCH-001 Gesamtsystemarchitektur v1.4 Architecture Audited Complete</dc:title>
  <dc:subject>World Engine architecture foundation</dc:subject>
  <dc:creator>Andrii Drahulskyi</dc:creator>
  <cp:keywords>World Engine, ARCH-001, architecture audit, v1.4, DE</cp:keywords>
  <dc:description>Regenerated from AUDIT-008/009/010 with downstream consistency gates applied.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