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Modularchitektur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Module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Modularchitektur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Zweck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Dieses Dokument definiert Modulgrenzen, Contract Owner, Lifecycle Wiring und Erweiterungsregeln für World Engine v1.0.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Modularitätsprinzipien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Ein Modul besitzt eine primäre Verantwortung.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koordiniert, übernimmt aber kein Domain Ownership.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Runtime Call, Event Relation und Data Flow ersetzen keine Static Dependency.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Application Host / Composition Root bindet Implementierungen über explizite Contracts.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Layer-Katalog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4272"/>
        <w:gridCol w:w="3876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Layer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Module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Owner Boundary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Integration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Adapter; Plugin Detection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Translation und Discovery Evidence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Coordination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Core; Event Engine; Scheduler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Application Workflows, Events, Timing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Domain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Memory; Character; Dialogue; Relationship; Organization; Economy; Politics; Quest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Domain State/Semantics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/ Media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Adapter; Context Manager; Voice; Providers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AI/Media Abstractions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Persistence</w:t>
            </w:r>
          </w:p>
        </w:tc>
        <w:tc>
          <w:tcPr>
            <w:tcW w:type="dxa" w:w="4272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Manager; Repositories; Database</w:t>
            </w:r>
          </w:p>
        </w:tc>
        <w:tc>
          <w:tcPr>
            <w:tcW w:type="dxa" w:w="387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Semantics und Storage Mechanics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Composition Root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Der Host konstruiert den Dependency Graph, wählt Active Mode/Profile, injiziert Typed Configuration Views und steuert Startup/Shutdown. Runtime Code erhält keinen Zugriff auf Container oder Registry.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Owner zentraler Contracts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279"/>
        <w:gridCol w:w="2484"/>
        <w:gridCol w:w="4173"/>
      </w:tblGrid>
      <w:tr>
        <w:trPr>
          <w:cantSplit w:val="true"/>
          <w:tblHeader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Contract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Owner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Implementierung / Consumer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Ingress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Adapter -&gt; Core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Output/Capability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Adapter implements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Dialogue Use-Case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Dialogue implements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Speech Output Port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Dialogue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Voice implements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 Read / Context Source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Memory/Application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 implements; Context Manager consumes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SaveParticipant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Architecture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State Owner implementieren; Host injiziert</w:t>
            </w:r>
          </w:p>
        </w:tc>
      </w:tr>
      <w:tr>
        <w:trPr>
          <w:cantSplit w:val="true"/>
        </w:trPr>
        <w:tc>
          <w:tcPr>
            <w:tcW w:type="dxa" w:w="327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Typed Configuration View</w:t>
            </w:r>
          </w:p>
        </w:tc>
        <w:tc>
          <w:tcPr>
            <w:tcW w:type="dxa" w:w="2484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Configuration Subsystem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Host verteilt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Interaktionsmodell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Synchronous result -&gt; narrow use-case port</w:t>
      </w:r>
      <w:r>
        <w:br/>
      </w:r>
      <w:r>
        <w:rPr>
          <w:rFonts w:ascii="Consolas" w:hAnsi="Consolas" w:eastAsia="Consolas"/>
          <w:color w:val="000000"/>
          <w:sz w:val="15"/>
        </w:rPr>
        <w:t>Decoupled fact -&gt; Event Engine</w:t>
      </w:r>
      <w:r>
        <w:br/>
      </w:r>
      <w:r>
        <w:rPr>
          <w:rFonts w:ascii="Consolas" w:hAnsi="Consolas" w:eastAsia="Consolas"/>
          <w:color w:val="000000"/>
          <w:sz w:val="15"/>
        </w:rPr>
        <w:t>State access -&gt; owner-specific contract/repository port</w:t>
      </w:r>
      <w:r>
        <w:br/>
      </w:r>
      <w:r>
        <w:rPr>
          <w:rFonts w:ascii="Consolas" w:hAnsi="Consolas" w:eastAsia="Consolas"/>
          <w:color w:val="000000"/>
          <w:sz w:val="15"/>
        </w:rPr>
        <w:t>Construction/readiness -&gt; Host lifecycle wiring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Lifecycle und Readiness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Komponenten publizieren eigene Lifecycle/Readiness Evidence.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Core besitzt nur den Core Coordination Lifecycle.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Host entscheidet Application Outcome und Recovery.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Requiredness folgt Active Mode/Profile; Optional Evidence blockiert andere Modi nicht.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Data Ownership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Memory, Character, Relationship, Organization, Economy, Politics und Quest besitzen ihren Zustand. Der Save Manager besitzt Save Artifact/Restore Semantics, aber keinen Domain State. Database besitzt Storage Mechanics.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Dependency-Regeln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285"/>
        <w:gridCol w:w="7651"/>
      </w:tblGrid>
      <w:tr>
        <w:trPr>
          <w:cantSplit w:val="true"/>
          <w:tblHeader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Regel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MOD-DEP-001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 Concrete Implementation Cycle.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MOD-DEP-002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 direkter Zugriff auf SQLite, Game SDK oder Provider SDK außerhalb der Boundary.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MOD-DEP-003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Engine ist kein Generic RPC.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MOD-DEP-004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Scheduler hängt nicht von Core ab und ruft Save Manager nicht direkt auf.</w:t>
            </w:r>
          </w:p>
        </w:tc>
      </w:tr>
      <w:tr>
        <w:trPr>
          <w:cantSplit w:val="true"/>
        </w:trPr>
        <w:tc>
          <w:tcPr>
            <w:tcW w:type="dxa" w:w="228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MOD-DEP-005</w:t>
            </w:r>
          </w:p>
        </w:tc>
        <w:tc>
          <w:tcPr>
            <w:tcW w:type="dxa" w:w="765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 Service Locator und keine globale Mutable Config.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Erweiterung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Ein neues Modul benötigt ID, Owner, Public Contract, Dependency Review und Readiness Criteria.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Eine neue Outbound Dependency erfordert ARCH-005-Update und Cycle Check.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Boundary/Ownership Change erfordert ein ADR.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Conformance Gates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Contract Tests prüfen Version und Semantik der Ports.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Architecture Tests verbieten Forbidden Imports/Edges.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Integration Tests prüfen Mode-aware Startup und Controlled Failure.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Änderungsverlauf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Änderungen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nach AUDIT-008–010; Downstream-Prüfungen AUDIT-014/015/018/021 berücksichtigt.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ARCH-002 Modularchitektur v1.4 Architecture Audited Complete</dc:title>
  <dc:subject>World Engine architecture foundation</dc:subject>
  <dc:creator>Andrii Drahulskyi</dc:creator>
  <cp:keywords>World Engine, ARCH-002, architecture audit, v1.4, DE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