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eastAsia="Arial"/>
          <w:b/>
          <w:color w:val="000000"/>
          <w:sz w:val="40"/>
        </w:rPr>
        <w:t>Архитектурные принципы и правила зависимостей</w:t>
      </w:r>
    </w:p>
    <w:p>
      <w:pPr>
        <w:spacing w:after="40"/>
        <w:jc w:val="center"/>
      </w:pPr>
      <w:r>
        <w:rPr>
          <w:rFonts w:ascii="Arial" w:hAnsi="Arial" w:eastAsia="Arial"/>
          <w:i/>
          <w:color w:val="000000"/>
          <w:sz w:val="21"/>
        </w:rPr>
        <w:t>World Engine — Architecture Principles &amp; Dependency Rules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000000"/>
          <w:sz w:val="23"/>
        </w:rPr>
        <w:t>World Engine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173"/>
        <w:gridCol w:w="5763"/>
      </w:tblGrid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Проект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World Engine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Документ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Архитектурные принципы и правила зависимостей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ID документа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ARCH-004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Версия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v1.4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Статус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Architecture Audited Complete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Дата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2026-09-02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Автор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Andrii Drahulskyi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1. Назначение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Документ устанавливает обязательные правила ownership, dependency inversion и architecture governance для всех компонентов World Engine.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2. Типы отношений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378"/>
        <w:gridCol w:w="6558"/>
      </w:tblGrid>
      <w:tr>
        <w:trPr>
          <w:cantSplit w:val="true"/>
          <w:tblHeader w:val="true"/>
        </w:trPr>
        <w:tc>
          <w:tcPr>
            <w:tcW w:type="dxa" w:w="337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Тип</w:t>
            </w:r>
          </w:p>
        </w:tc>
        <w:tc>
          <w:tcPr>
            <w:tcW w:type="dxa" w:w="655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Может создавать static dependency?</w:t>
            </w:r>
          </w:p>
        </w:tc>
      </w:tr>
      <w:tr>
        <w:trPr>
          <w:cantSplit w:val="true"/>
        </w:trPr>
        <w:tc>
          <w:tcPr>
            <w:tcW w:type="dxa" w:w="337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Static dependency</w:t>
            </w:r>
          </w:p>
        </w:tc>
        <w:tc>
          <w:tcPr>
            <w:tcW w:type="dxa" w:w="655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Да — только на публичный contract/port.</w:t>
            </w:r>
          </w:p>
        </w:tc>
      </w:tr>
      <w:tr>
        <w:trPr>
          <w:cantSplit w:val="true"/>
        </w:trPr>
        <w:tc>
          <w:tcPr>
            <w:tcW w:type="dxa" w:w="337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Runtime call</w:t>
            </w:r>
          </w:p>
        </w:tc>
        <w:tc>
          <w:tcPr>
            <w:tcW w:type="dxa" w:w="655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 автоматически.</w:t>
            </w:r>
          </w:p>
        </w:tc>
      </w:tr>
      <w:tr>
        <w:trPr>
          <w:cantSplit w:val="true"/>
        </w:trPr>
        <w:tc>
          <w:tcPr>
            <w:tcW w:type="dxa" w:w="337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Event relation</w:t>
            </w:r>
          </w:p>
        </w:tc>
        <w:tc>
          <w:tcPr>
            <w:tcW w:type="dxa" w:w="655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Нет прямого producer -&gt; subscriber edge.</w:t>
            </w:r>
          </w:p>
        </w:tc>
      </w:tr>
      <w:tr>
        <w:trPr>
          <w:cantSplit w:val="true"/>
        </w:trPr>
        <w:tc>
          <w:tcPr>
            <w:tcW w:type="dxa" w:w="337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Data flow</w:t>
            </w:r>
          </w:p>
        </w:tc>
        <w:tc>
          <w:tcPr>
            <w:tcW w:type="dxa" w:w="655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Нет; это движение информации.</w:t>
            </w:r>
          </w:p>
        </w:tc>
      </w:tr>
      <w:tr>
        <w:trPr>
          <w:cantSplit w:val="true"/>
        </w:trPr>
        <w:tc>
          <w:tcPr>
            <w:tcW w:type="dxa" w:w="337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Ownership</w:t>
            </w:r>
          </w:p>
        </w:tc>
        <w:tc>
          <w:tcPr>
            <w:tcW w:type="dxa" w:w="655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Нет; это ответственность.</w:t>
            </w:r>
          </w:p>
        </w:tc>
      </w:tr>
      <w:tr>
        <w:trPr>
          <w:cantSplit w:val="true"/>
        </w:trPr>
        <w:tc>
          <w:tcPr>
            <w:tcW w:type="dxa" w:w="337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Lifecycle wiring</w:t>
            </w:r>
          </w:p>
        </w:tc>
        <w:tc>
          <w:tcPr>
            <w:tcW w:type="dxa" w:w="655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Host-only wiring, не runtime lookup.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3. Dependency inversion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Core/Application -&gt; Dialogue Use-Case Port &lt;- Dialogue implementation</w:t>
      </w:r>
      <w:r>
        <w:br/>
      </w:r>
      <w:r>
        <w:rPr>
          <w:rFonts w:ascii="Consolas" w:hAnsi="Consolas" w:eastAsia="Consolas"/>
          <w:color w:val="000000"/>
          <w:sz w:val="16"/>
        </w:rPr>
        <w:t>Core/Application -&gt; Game Output/Capability Port &lt;- Game Adapter</w:t>
      </w:r>
      <w:r>
        <w:br/>
      </w:r>
      <w:r>
        <w:rPr>
          <w:rFonts w:ascii="Consolas" w:hAnsi="Consolas" w:eastAsia="Consolas"/>
          <w:color w:val="000000"/>
          <w:sz w:val="16"/>
        </w:rPr>
        <w:t>Dialogue -&gt; Speech Output Port &lt;- Voice</w:t>
      </w:r>
      <w:r>
        <w:br/>
      </w:r>
      <w:r>
        <w:rPr>
          <w:rFonts w:ascii="Consolas" w:hAnsi="Consolas" w:eastAsia="Consolas"/>
          <w:color w:val="000000"/>
          <w:sz w:val="16"/>
        </w:rPr>
        <w:t>Context Manager -&gt; Memory Read / Context Source Port &lt;- Memory</w:t>
      </w:r>
      <w:r>
        <w:br/>
      </w:r>
      <w:r>
        <w:rPr>
          <w:rFonts w:ascii="Consolas" w:hAnsi="Consolas" w:eastAsia="Consolas"/>
          <w:color w:val="000000"/>
          <w:sz w:val="16"/>
        </w:rPr>
        <w:t>Save Manager -&gt; SaveParticipant abstractions &lt;- State owners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4. Composition и конфигурация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Application Host / Composition Root — единственный process-level graph builder.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Configuration subsystem создаёт validated effective configuration; Host распространяет immutable typed views.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Service Locator, global mutable registry и runtime container lookup запрещены.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5. Event rule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Event Engine предназначена для semantic facts и decoupled reactions. Команды/queries с немедленным результатом используют narrow use-case ports. Event Engine не является generic RPC или transaction owner.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6. Scheduler rule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Core -&gt; Scheduler control contract</w:t>
      </w:r>
      <w:r>
        <w:br/>
      </w:r>
      <w:r>
        <w:rPr>
          <w:rFonts w:ascii="Consolas" w:hAnsi="Consolas" w:eastAsia="Consolas"/>
          <w:color w:val="000000"/>
          <w:sz w:val="16"/>
        </w:rPr>
        <w:t>Scheduler -&gt; Event Engine : scheduled semantic event</w:t>
      </w:r>
      <w:r>
        <w:br/>
      </w:r>
      <w:r>
        <w:rPr>
          <w:rFonts w:ascii="Consolas" w:hAnsi="Consolas" w:eastAsia="Consolas"/>
          <w:color w:val="000000"/>
          <w:sz w:val="16"/>
        </w:rPr>
        <w:t>NO Scheduler -&gt; Core</w:t>
      </w:r>
      <w:r>
        <w:br/>
      </w:r>
      <w:r>
        <w:rPr>
          <w:rFonts w:ascii="Consolas" w:hAnsi="Consolas" w:eastAsia="Consolas"/>
          <w:color w:val="000000"/>
          <w:sz w:val="16"/>
        </w:rPr>
        <w:t>NO Scheduler -&gt; Save Manager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Autosave policy и retry принадлежат Save architecture, не Scheduler.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7. Persistence rule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Dedicated Repository Port -&gt; Repository Implementation -&gt; SQLite.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Core не выполняет generic CRUD и не импортирует DB driver.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AI, Plugin Detection и Game Adapter не имеют прямого database access.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Save persistence отличается от normal domain persistence.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8. Save/Restore ownership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Save Manager владеет artifact validation, orchestration, compatibility и staging. State owners владеют применением своего состояния. Host/Activation Gate координирует atomic logical activation. Core ограничен high-level Load и typed outcome.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9. AI authority rule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Approved Consumer -&gt; AI Adapter -&gt; Context Manager -&gt; Provider Abstraction.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AI output требует deterministic validation и не является authority.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Core AI readiness evidence отсутствует по умолчанию и включается только для документированного Core-owned workflow.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10. Readiness scopes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173"/>
        <w:gridCol w:w="5763"/>
      </w:tblGrid>
      <w:tr>
        <w:trPr>
          <w:cantSplit w:val="true"/>
          <w:tblHeader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Scope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Component lifecycle/readiness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Соответствующий компонент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Core coordination readiness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Application outcome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Application Host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Provider/adapter health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AI/Game integration owner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Restore activation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 Manager + state owners + Host gate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11. Forbidden edges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86"/>
        <w:gridCol w:w="7750"/>
      </w:tblGrid>
      <w:tr>
        <w:trPr>
          <w:cantSplit w:val="true"/>
          <w:tblHeader w:val="true"/>
        </w:trPr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ID</w:t>
            </w:r>
          </w:p>
        </w:tc>
        <w:tc>
          <w:tcPr>
            <w:tcW w:type="dxa" w:w="775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Запрещённая связь</w:t>
            </w:r>
          </w:p>
        </w:tc>
      </w:tr>
      <w:tr>
        <w:trPr>
          <w:cantSplit w:val="true"/>
        </w:trPr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FORBID-001</w:t>
            </w:r>
          </w:p>
        </w:tc>
        <w:tc>
          <w:tcPr>
            <w:tcW w:type="dxa" w:w="775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Scheduler -&gt; Core / Save Manager</w:t>
            </w:r>
          </w:p>
        </w:tc>
      </w:tr>
      <w:tr>
        <w:trPr>
          <w:cantSplit w:val="true"/>
        </w:trPr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FORBID-002</w:t>
            </w:r>
          </w:p>
        </w:tc>
        <w:tc>
          <w:tcPr>
            <w:tcW w:type="dxa" w:w="775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Domain/Integration -&gt; SQLite</w:t>
            </w:r>
          </w:p>
        </w:tc>
      </w:tr>
      <w:tr>
        <w:trPr>
          <w:cantSplit w:val="true"/>
        </w:trPr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FORBID-003</w:t>
            </w:r>
          </w:p>
        </w:tc>
        <w:tc>
          <w:tcPr>
            <w:tcW w:type="dxa" w:w="775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Core -&gt; concrete Game Adapter/AI provider/domain internals</w:t>
            </w:r>
          </w:p>
        </w:tc>
      </w:tr>
      <w:tr>
        <w:trPr>
          <w:cantSplit w:val="true"/>
        </w:trPr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FORBID-004</w:t>
            </w:r>
          </w:p>
        </w:tc>
        <w:tc>
          <w:tcPr>
            <w:tcW w:type="dxa" w:w="775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Event Engine as generic RPC</w:t>
            </w:r>
          </w:p>
        </w:tc>
      </w:tr>
      <w:tr>
        <w:trPr>
          <w:cantSplit w:val="true"/>
        </w:trPr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FORBID-005</w:t>
            </w:r>
          </w:p>
        </w:tc>
        <w:tc>
          <w:tcPr>
            <w:tcW w:type="dxa" w:w="775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Runtime Service Locator/global Config</w:t>
            </w:r>
          </w:p>
        </w:tc>
      </w:tr>
      <w:tr>
        <w:trPr>
          <w:cantSplit w:val="true"/>
        </w:trPr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FORBID-006</w:t>
            </w:r>
          </w:p>
        </w:tc>
        <w:tc>
          <w:tcPr>
            <w:tcW w:type="dxa" w:w="775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Core -&gt; SaveParticipant stage/commit/rollback</w:t>
            </w:r>
          </w:p>
        </w:tc>
      </w:tr>
      <w:tr>
        <w:trPr>
          <w:cantSplit w:val="true"/>
        </w:trPr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FORBID-007</w:t>
            </w:r>
          </w:p>
        </w:tc>
        <w:tc>
          <w:tcPr>
            <w:tcW w:type="dxa" w:w="775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Context Manager -&gt; Repository/SQLite</w:t>
            </w:r>
          </w:p>
        </w:tc>
      </w:tr>
      <w:tr>
        <w:trPr>
          <w:cantSplit w:val="true"/>
        </w:trPr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FORBID-008</w:t>
            </w:r>
          </w:p>
        </w:tc>
        <w:tc>
          <w:tcPr>
            <w:tcW w:type="dxa" w:w="775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 -&gt; Game/Save/DB authority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12. Governance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Новый implementation edge требует ARCH-005 update и mechanical cycle check.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Изменение boundary/ownership требует ADR и traceability update.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Диаграммы обязаны маркировать arrow semantics.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13. Проверки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83"/>
        <w:gridCol w:w="7353"/>
      </w:tblGrid>
      <w:tr>
        <w:trPr>
          <w:cantSplit w:val="true"/>
          <w:tblHeader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Gate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Требование</w:t>
            </w:r>
          </w:p>
        </w:tc>
      </w:tr>
      <w:tr>
        <w:trPr>
          <w:cantSplit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PR-ARCH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Forbidden import/edge scan PASS</w:t>
            </w:r>
          </w:p>
        </w:tc>
      </w:tr>
      <w:tr>
        <w:trPr>
          <w:cantSplit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PR-CYCLE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Directed graph acyclic</w:t>
            </w:r>
          </w:p>
        </w:tc>
      </w:tr>
      <w:tr>
        <w:trPr>
          <w:cantSplit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PR-PARITY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RU/DE semantic identifiers equal</w:t>
            </w:r>
          </w:p>
        </w:tc>
      </w:tr>
      <w:tr>
        <w:trPr>
          <w:cantSplit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PR-RENDER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Каждая страница проверена</w:t>
            </w:r>
          </w:p>
        </w:tc>
      </w:tr>
      <w:tr>
        <w:trPr>
          <w:cantSplit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PR-TRACE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ADR/ARCH/MOD traceability current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14. История изменений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90"/>
        <w:gridCol w:w="2186"/>
        <w:gridCol w:w="6160"/>
      </w:tblGrid>
      <w:tr>
        <w:trPr>
          <w:cantSplit w:val="true"/>
          <w:tblHeader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Версия</w:t>
            </w:r>
          </w:p>
        </w:tc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Дата</w:t>
            </w:r>
          </w:p>
        </w:tc>
        <w:tc>
          <w:tcPr>
            <w:tcW w:type="dxa" w:w="616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Изменения</w:t>
            </w:r>
          </w:p>
        </w:tc>
      </w:tr>
      <w:tr>
        <w:trPr>
          <w:cantSplit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v1.4</w:t>
            </w:r>
          </w:p>
        </w:tc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2026-09-02</w:t>
            </w:r>
          </w:p>
        </w:tc>
        <w:tc>
          <w:tcPr>
            <w:tcW w:type="dxa" w:w="616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Полная регенерация по AUDIT-008–010; downstream-проверки AUDIT-014/015/018/021 учтены.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50" w:line="240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3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/>
      <w:ind w:left="346" w:hanging="202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ARCH-004 Архитектурные принципы и правила зависимостей v1.4 Architecture Audited Complete</dc:title>
  <dc:subject>World Engine architecture foundation</dc:subject>
  <dc:creator>Andrii Drahulskyi</dc:creator>
  <cp:keywords>World Engine, ARCH-004, architecture audit, v1.4, RU</cp:keywords>
  <dc:description>Regenerated from AUDIT-008/009/010 with downstream consistency gates applied.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