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ADR-003 — Database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Amendment v1.1 · Ownership der Persistenzverträge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ADR-003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Zweck</w:t>
      </w:r>
    </w:p>
    <w:p>
      <w:pPr>
        <w:keepLines/>
      </w:pPr>
      <w:r>
        <w:rPr>
          <w:rFonts w:ascii="Arial" w:hAnsi="Arial" w:eastAsia="Arial"/>
          <w:sz w:val="19"/>
        </w:rPr>
        <w:t>Das Amendment bewahrt SQLite als physische Technologie für v1.0 und die Repository-Grenze, schränkt aber die zu breite Aussage über Persistenzzugriff durch Core ein.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Entscheidung</w:t>
      </w:r>
    </w:p>
    <w:p>
      <w:pPr>
        <w:keepLines/>
      </w:pPr>
      <w:r>
        <w:rPr>
          <w:rFonts w:ascii="Arial" w:hAnsi="Arial" w:eastAsia="Arial"/>
          <w:sz w:val="19"/>
        </w:rPr>
        <w:t>Jeder Application-/Domain-Owner hängt nur von einem dedizierten Repository-Port für eigene Daten und Use Cases ab. Physische Schemas, SQL, Connections und Migrationen bleiben hinter der Persistenzgrenze.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Verbindliche Regeln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 Manager nutzt save-orientierte Persistenzverträge und besitzt Save-/Restore-Logik, nicht jedoch den physischen Speicher.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Event Engine darf einen eigenen Event-History-Persistenzvertrag mit expliziter Aufbewahrungspolitik verwenden.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hängt nicht von generischen Repositories, beliebigem CRUD, SQLite-Verträgen oder physischen Database Types ab.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Ein schmaler Core-eigener Persistenz-/Statusport ist nur bei nachgewiesener Core-Verantwortung und separatem Architecture Gate zulässig.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ADR-003 · Database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Normative Auslegung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Application Readiness kann Core als Evidence vom Host/Composition Root erreichen und erfordert keine Core→Repository-Abhängigkeit.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AI Adapter, Plugin Detection und Game Adapter erhalten keinen direkten SQLite-Zugriff.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Transactions, Schema Versioning, Backups und Connection Lifecycle gehören zur Persistenz-Implementierungsgrenze.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Domain Owner bestimmen Datensemantik; Repository übernimmt keine Domain Authority und wird nicht zum Service Locator.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Folgen und Kontrolle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Folge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Konformitätsprüfung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Die Entscheidung bewahrt die Austauschbarkeit von SQLite und begrenzt den Änderungsradius von Schemas. Ports werden schmaler und benötigen einen expliziten Eigentümer.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Implementierungsänderungen müssen durch Architecture Tests, Dependency-Graph-Validierung und Review der Vertragsinhaber bestätigt werden.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Historischer Status und Supersession</w:t>
      </w:r>
    </w:p>
    <w:p>
      <w:pPr>
        <w:keepLines/>
      </w:pPr>
      <w:r>
        <w:rPr>
          <w:rFonts w:ascii="Arial" w:hAnsi="Arial" w:eastAsia="Arial"/>
          <w:sz w:val="19"/>
        </w:rPr>
        <w:t>Das ursprüngliche ADR v1.0 bleibt eine historische Entscheidungsaufzeichnung. Dieses Amendment/diese Klarstellung definiert die normative Auslegung für World Engine Version 1.x und schreibt die Ursprungsdatei nicht um.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§5; AUD-021; ADR-008; ARCH-004 v1.4; ARCH-005 v1.4; ARCH-011 v1.1.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ADR-003 — Database — Amendment v1.1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