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ADR-001 — Core Architecture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Поправка v1.1 · уточнение роли Core, портов и Composition 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Язык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Статус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Дата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Родительское решение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ADR-001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Область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Целевой релиз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Назначение</w:t>
      </w:r>
    </w:p>
    <w:p>
      <w:pPr>
        <w:keepLines/>
      </w:pPr>
      <w:r>
        <w:rPr>
          <w:rFonts w:ascii="Arial" w:hAnsi="Arial" w:eastAsia="Arial"/>
          <w:sz w:val="19"/>
        </w:rPr>
        <w:t>Эта поправка сохраняет исходное решение ADR-001 о модульном Core, но устраняет неоднозначность между координацией приложения, статической зависимостью и владением жизненным циклом.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Решение</w:t>
      </w:r>
    </w:p>
    <w:p>
      <w:pPr>
        <w:keepLines/>
      </w:pPr>
      <w:r>
        <w:rPr>
          <w:rFonts w:ascii="Arial" w:hAnsi="Arial" w:eastAsia="Arial"/>
          <w:sz w:val="19"/>
        </w:rPr>
        <w:t>Core остаётся слоем координации use case и simulation semantics. Application Host / Composition Root владеет сборкой процесса, созданием компонентов, top-level startup/shutdown и агрегацией готовности приложения.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Обязательные правила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управляет только собственным coordination lifecycle и не создаёт глобальный граф подсистем.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Синхронные вызовы разрешены только через явные узкие use-case ports, когда требуется непосредственный результат.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не является Service Locator, module registry или универсальным dependency gateway.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Доступ Core к persistence допустим лишь через обоснованный Core-owned status/persistence port; generic Repository и domain CRUD запрещены.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ADR-001 · Core Architecture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Нормативная интерпретация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integration использует Game Ingress Port и Game Output/Capability Port; runtime-вызовы могут быть двунаправленными, implementation dependencies остаются ацикличными.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Core не является generic AI consumer в v1.0. Dialogue и другие явно одобренные consumers входят через AI Adapter.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Save/Load может входить через узкий application/Core use-case contract, но Save Manager владеет Save Contract и restore semantics.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Все архитектурные стрелки должны указывать семантику: static dependency, runtime call, event, data flow, ownership или lifecycle wiring.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Последствия и контроль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Последствие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Проверка соответствия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Поправка предотвращает God Core и статические циклы, сохраняя практичную координацию. Новая зависимость Core требует проверяемого use case, владельца контракта и architecture review.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Исторический статус и supersession</w:t>
      </w:r>
    </w:p>
    <w:p>
      <w:pPr>
        <w:keepLines/>
      </w:pPr>
      <w:r>
        <w:rPr>
          <w:rFonts w:ascii="Arial" w:hAnsi="Arial" w:eastAsia="Arial"/>
          <w:sz w:val="19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§3; AUDIT-008; ADR-008; ARCH-004 v1.4; ARCH-005 v1.4; MOD-001 v1.2.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— Core Architecture — Amendment v1.1 (RU)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