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ARCHITECTURE DECISION RECORD</w:t>
      </w:r>
    </w:p>
    <w:p>
      <w:pPr>
        <w:pStyle w:val="Title"/>
      </w:pPr>
      <w:r>
        <w:rPr>
          <w:rFonts w:ascii="Arial" w:hAnsi="Arial" w:eastAsia="Arial"/>
          <w:b/>
          <w:color w:val="17324D"/>
          <w:sz w:val="42"/>
        </w:rPr>
        <w:t>ADR-002 — Event System</w:t>
      </w:r>
    </w:p>
    <w:p>
      <w:pPr>
        <w:pStyle w:val="Subtitle"/>
      </w:pPr>
      <w:r>
        <w:rPr>
          <w:rFonts w:ascii="Arial" w:hAnsi="Arial" w:eastAsia="Arial"/>
          <w:b/>
          <w:color w:val="138A8A"/>
          <w:sz w:val="22"/>
        </w:rPr>
        <w:t>Clarification v1.1 · Ereignissemantik und Scheduling-Grenzen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665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Feld</w:t>
            </w:r>
          </w:p>
        </w:tc>
        <w:tc>
          <w:tcPr>
            <w:tcW w:type="dxa" w:w="674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Wert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Sprache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Version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Status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Proposed — Architecture Audited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Datum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Übergeordnete Entscheidung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ADR-002 v1.0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Geltungsbereich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Clarification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Ziel-Release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World Engine Version 1.x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1. Zweck</w:t>
      </w:r>
    </w:p>
    <w:p>
      <w:pPr>
        <w:keepLines/>
      </w:pPr>
      <w:r>
        <w:rPr>
          <w:rFonts w:ascii="Arial" w:hAnsi="Arial" w:eastAsia="Arial"/>
          <w:sz w:val="19"/>
        </w:rPr>
        <w:t>Diese Klarstellung bewahrt das hybride Event-/Direct-Contract-Modell aus ADR-002 und präzisiert zwei Begriffe, die in nachgelagerten Dokumenten eine falsche Kopplung an Scheduler und Save System erlaubten.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2. Entscheidung</w:t>
      </w:r>
    </w:p>
    <w:p>
      <w:pPr>
        <w:keepLines/>
      </w:pPr>
      <w:r>
        <w:rPr>
          <w:rFonts w:ascii="Arial" w:hAnsi="Arial" w:eastAsia="Arial"/>
          <w:sz w:val="19"/>
        </w:rPr>
        <w:t>Event Engine transportiert semantische Benachrichtigungen und entkoppelte Reaktionen. Ein Event ist weder Command noch Query und ersetzt weder RPC noch einen schmalen synchronen Vertrag.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3. Verbindliche Regeln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Dispatch Scheduling innerhalb der Event Engine bezeichnet interne Auslieferung, Retry und Backpressure, nicht MOD-012 Scheduler.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MOD-012 Scheduler besitzt zeitliche Trigger und publiziert domain-neutrale Ereignisse wie AutosaveDue über die Event Engine.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Event Engine besitzt weder Domain State noch Geschäftsentscheidungen der Subscriber oder den Application Lifecycle.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Workflows mit unmittelbarem Ergebnis verwenden einen expliziten Direct Contract, keinen als Event getarnten Request.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ADR-002 · Event System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Normative Auslegung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Event History wird nicht automatisch zur Domain Truth; die Persistenzpolitik bestimmt der Eigentümer des jeweiligen Vertrags.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Ein Committed Save ist ein autoritativer persistierter/wiederherstellbarer Checkpoint, nicht zwingend der neueste Live-Runtime-State nach späteren Änderungen.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Producer und Schema Owner eines Events müssen feststehen; Subscriber werden isoliert und Delivery Semantics werden getestet.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Event Engine darf nicht als versteckter Service Locator oder zur Umgehung von Ownership/Validation dienen.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4. Folgen und Kontrolle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Folge</w:t>
            </w:r>
          </w:p>
        </w:tc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Konformitätsprüfung</w:t>
            </w:r>
          </w:p>
        </w:tc>
      </w:tr>
      <w:tr>
        <w:trPr>
          <w:cantSplit/>
        </w:trPr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Die Trennung von Event Delivery, Scheduler Timing und persistierter Autorität beseitigt falsche Abhängigkeiten und macht Save-/Autosave-Flows eindeutig.</w:t>
            </w:r>
          </w:p>
        </w:tc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Implementierungsänderungen müssen durch Architecture Tests, Dependency-Graph-Validierung und Review der Vertragsinhaber bestätigt werden.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5. Historischer Status und Supersession</w:t>
      </w:r>
    </w:p>
    <w:p>
      <w:pPr>
        <w:keepLines/>
      </w:pPr>
      <w:r>
        <w:rPr>
          <w:rFonts w:ascii="Arial" w:hAnsi="Arial" w:eastAsia="Arial"/>
          <w:sz w:val="19"/>
        </w:rPr>
        <w:t>Das ursprüngliche ADR v1.0 bleibt eine historische Entscheidungsaufzeichnung. Dieses Amendment/diese Klarstellung definiert die normative Auslegung für World Engine Version 1.x und schreibt die Ursprungsdatei nicht um.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6. Traceability</w:t>
      </w:r>
    </w:p>
    <w:p>
      <w:pPr>
        <w:keepLines/>
      </w:pPr>
      <w:r>
        <w:rPr>
          <w:rFonts w:ascii="Arial" w:hAnsi="Arial" w:eastAsia="Arial"/>
          <w:sz w:val="19"/>
        </w:rPr>
        <w:t>AUDIT-007 §4; ADR-008; ARCH-003 v1.4; ARCH-007 v4; ARCH-011 v1.1.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7. 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247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1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6350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Rebuilt audited amendment/clarification from the approved repository audit baseline; no historical ADR was modified.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79" w:right="964" w:bottom="822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36273"/>
        <w:sz w:val="16"/>
      </w:rPr>
      <w:t xml:space="preserve">World Engine · Architecture Audit ·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color w:val="536273"/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38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/>
      <w:i/>
      <w:iCs/>
      <w:color w:val="138A8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0" w:after="40"/>
    </w:pPr>
    <w:rPr>
      <w:rFonts w:ascii="Arial" w:hAnsi="Arial" w:eastAsia="Arial"/>
      <w:b w:val="0"/>
      <w:bCs/>
      <w:color w:val="5362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/>
      <w:spacing w:before="40" w:after="80"/>
      <w:ind w:left="198" w:right="198"/>
    </w:pPr>
    <w:rPr>
      <w:rFonts w:ascii="Consolas" w:hAnsi="Consolas" w:eastAsia="Consolas"/>
      <w:b w:val="0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ADR-002 — Event System — Clarification v1.1 (DE)</dc:title>
  <dc:subject>World Engine architecture decision audit</dc:subject>
  <dc:creator>Andrii Drahulskyi</dc:creator>
  <cp:keywords>World Engine, ADR, architecture audit</cp:keywords>
  <dc:description>Rebuilt from the approved architecture audit baseline; historical ADR files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