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000"/>
        <w:jc w:val="center"/>
      </w:pPr>
      <w:r>
        <w:rPr>
          <w:rFonts w:ascii="Helvetica Neue" w:hAnsi="Helvetica Neue" w:eastAsia="Helvetica Neue"/>
          <w:b/>
          <w:color w:val="17365D"/>
          <w:sz w:val="22"/>
        </w:rPr>
        <w:t>WORLD ENGINE   /   DOC-006</w:t>
      </w:r>
    </w:p>
    <w:p>
      <w:pPr>
        <w:pStyle w:val="Title"/>
        <w:spacing w:before="720"/>
        <w:jc w:val="center"/>
      </w:pPr>
      <w:r>
        <w:t>Projektumfang von World Engine</w:t>
      </w:r>
    </w:p>
    <w:p>
      <w:pPr>
        <w:jc w:val="center"/>
      </w:pPr>
      <w:r>
        <w:rPr>
          <w:rFonts w:ascii="Helvetica Neue" w:hAnsi="Helvetica Neue" w:eastAsia="Helvetica Neue"/>
          <w:b/>
          <w:color w:val="667085"/>
          <w:sz w:val="20"/>
        </w:rPr>
        <w:t>FULL CONTENT · ARCHITECTURE AUDITED · COMPLETE</w:t>
      </w:r>
    </w:p>
    <w:p/>
    <w:tbl>
      <w:tblPr>
        <w:tblW w:type="auto" w:w="0"/>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Kennung</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DOC-006</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Version</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4.0</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Deutsch</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Deutsch</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Datum</w:t>
            </w:r>
          </w:p>
        </w:tc>
        <w:tc>
          <w:tcPr>
            <w:tcW w:type="dxa" w:w="7200"/>
            <w:shd w:fill="F3F5F7"/>
            <w:vAlign w:val="center"/>
            <w:tcMar>
              <w:top w:w="80" w:type="dxa"/>
              <w:start w:w="100" w:type="dxa"/>
              <w:bottom w:w="80" w:type="dxa"/>
              <w:end w:w="100" w:type="dxa"/>
            </w:tcMar>
          </w:tcPr>
          <w:p>
            <w:r/>
            <w:r>
              <w:rPr>
                <w:rFonts w:ascii="Helvetica Neue" w:hAnsi="Helvetica Neue" w:eastAsia="Helvetica Neue"/>
                <w:b w:val="0"/>
                <w:color w:val="000000"/>
                <w:sz w:val="18"/>
              </w:rPr>
              <w:t>2026-09-04</w:t>
            </w:r>
          </w:p>
        </w:tc>
      </w:tr>
      <w:tr>
        <w:tc>
          <w:tcPr>
            <w:tcW w:type="dxa" w:w="2304"/>
            <w:shd w:fill="17365D"/>
            <w:vAlign w:val="center"/>
            <w:tcMar>
              <w:top w:w="80" w:type="dxa"/>
              <w:start w:w="100" w:type="dxa"/>
              <w:bottom w:w="80" w:type="dxa"/>
              <w:end w:w="100" w:type="dxa"/>
            </w:tcMar>
          </w:tcPr>
          <w:p>
            <w:r/>
            <w:r>
              <w:rPr>
                <w:rFonts w:ascii="Helvetica Neue" w:hAnsi="Helvetica Neue" w:eastAsia="Helvetica Neue"/>
                <w:b/>
                <w:color w:val="FFFFFF"/>
                <w:sz w:val="18"/>
              </w:rPr>
              <w:t>Revisionsstatus</w:t>
            </w:r>
          </w:p>
        </w:tc>
        <w:tc>
          <w:tcPr>
            <w:tcW w:type="dxa" w:w="7200"/>
            <w:shd w:fill="FFFFFF"/>
            <w:vAlign w:val="center"/>
            <w:tcMar>
              <w:top w:w="80" w:type="dxa"/>
              <w:start w:w="100" w:type="dxa"/>
              <w:bottom w:w="80" w:type="dxa"/>
              <w:end w:w="100" w:type="dxa"/>
            </w:tcMar>
          </w:tcPr>
          <w:p>
            <w:r/>
            <w:r>
              <w:rPr>
                <w:rFonts w:ascii="Helvetica Neue" w:hAnsi="Helvetica Neue" w:eastAsia="Helvetica Neue"/>
                <w:b w:val="0"/>
                <w:color w:val="000000"/>
                <w:sz w:val="18"/>
              </w:rPr>
              <w:t>Architektur-auditiert — vollständige konsolidierte Fassung</w:t>
            </w:r>
          </w:p>
        </w:tc>
      </w:tr>
    </w:tbl>
    <w:p>
      <w:pPr>
        <w:spacing w:before="440"/>
        <w:jc w:val="center"/>
      </w:pPr>
      <w:r>
        <w:rPr>
          <w:rFonts w:ascii="Helvetica Neue" w:hAnsi="Helvetica Neue" w:eastAsia="Helvetica Neue"/>
          <w:b/>
          <w:color w:val="17365D"/>
          <w:sz w:val="18"/>
        </w:rPr>
        <w:t>Architektur-auditiert — vollständige konsolidierte Fassung</w:t>
      </w:r>
    </w:p>
    <w:p>
      <w:r>
        <w:br w:type="page"/>
      </w:r>
    </w:p>
    <w:p>
      <w:pPr>
        <w:pStyle w:val="Heading1"/>
      </w:pPr>
      <w:r>
        <w:t>Inhaltsverzeichnis</w:t>
      </w:r>
    </w:p>
    <w:p>
      <w:r>
        <w:fldChar w:fldCharType="begin"/>
        <w:instrText xml:space="preserve">TOC \o "1-3" \h \z \u</w:instrText>
        <w:fldChar w:fldCharType="separate"/>
        <w:t>Inhaltsverzeichnis</w:t>
        <w:fldChar w:fldCharType="end"/>
      </w:r>
    </w:p>
    <w:p>
      <w:r>
        <w:br w:type="page"/>
      </w:r>
    </w:p>
    <w:p>
      <w:pPr>
        <w:pStyle w:val="Heading1"/>
      </w:pPr>
      <w:r>
        <w:t>Zweck und Anwendungsregeln</w:t>
      </w:r>
    </w:p>
    <w:p>
      <w:r>
        <w:t>Dieses Dokument ist die vollständige konsolidierte Fassung. Es vereint die aktuell geprüften Festlegungen, die technische Detailtiefe früherer Versionen, Ergänzungen, Tabellen und Abbildungen. Die geprüfte normative Ebene unten hat Vorrang. Widerspricht ein erhaltener historischer Abschnitt dieser Ebene, gilt die korrigierte normative Regel; der historische Abschnitt bleibt ausschließlich für Vollständigkeit und Nachvollziehbarkeit erhalten.</w:t>
      </w:r>
    </w:p>
    <w:p>
      <w:pPr>
        <w:pStyle w:val="Heading2"/>
      </w:pPr>
      <w:r>
        <w:t>Vorrangregel</w:t>
      </w:r>
    </w:p>
    <w:p>
      <w:pPr>
        <w:keepLines/>
      </w:pPr>
      <w:r>
        <w:t>Normative Aussagen der aktuellen geprüften Fassung ersetzen unvereinbare Aussagen früherer Versionen. Alle übrigen Details früherer Versionen gelten weiter, sofern sie der normativen Ebene nicht widersprechen.</w:t>
      </w:r>
    </w:p>
    <w:p>
      <w:pPr>
        <w:pStyle w:val="Heading1"/>
      </w:pPr>
      <w:r>
        <w:t>Aktuelle geprüfte Spezifikation</w:t>
      </w:r>
    </w:p>
    <w:p>
      <w:pPr>
        <w:pStyle w:val="Heading2"/>
      </w:pPr>
      <w:r>
        <w:t>Normative Quelle: DOC-006_World_Engine_Project_Scope_DE_v3.docx</w:t>
      </w:r>
    </w:p>
    <w:p>
      <w:r>
        <w:rPr>
          <w:rFonts w:ascii="Helvetica Neue" w:hAnsi="Helvetica Neue" w:eastAsia="Helvetica Neue"/>
          <w:b w:val="0"/>
          <w:color w:val="667085"/>
          <w:sz w:val="17"/>
        </w:rPr>
        <w:t>docs/00_Project_Management/DOC-006_World_Engine_Project_Scope_DE_v3.docx</w:t>
      </w:r>
    </w:p>
    <w:p>
      <w:pPr>
        <w:pStyle w:val="Heading2"/>
      </w:pPr>
      <w:r>
        <w:t>Project Scope</w:t>
      </w:r>
    </w:p>
    <w:p>
      <w:r>
        <w:rPr>
          <w:rFonts w:ascii="Helvetica Neue" w:hAnsi="Helvetica Neue" w:eastAsia="Helvetica Neue"/>
          <w:b w:val="0"/>
          <w:i/>
          <w:color w:val="000000"/>
          <w:sz w:val="21"/>
        </w:rPr>
        <w:t>Projektumfang / Nur Version 1.0</w:t>
      </w:r>
    </w:p>
    <w:p>
      <w:pPr>
        <w:pStyle w:val="Heading2"/>
      </w:pPr>
      <w:r>
        <w:t>World Engine</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Project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World Engine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 Scope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Document ID</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SCOPE-001</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v3.0</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Status</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Final</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2026-08-06</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Author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r>
    </w:tbl>
    <w:p>
      <w:pPr>
        <w:spacing w:after="40"/>
      </w:pPr>
    </w:p>
    <w:p>
      <w:pPr>
        <w:pStyle w:val="Heading2"/>
      </w:pPr>
      <w:r>
        <w:t>1. Executive Summary</w:t>
      </w:r>
    </w:p>
    <w:p>
      <w:r>
        <w:rPr>
          <w:rFonts w:ascii="Helvetica Neue" w:hAnsi="Helvetica Neue" w:eastAsia="Helvetica Neue"/>
          <w:b w:val="0"/>
          <w:i w:val="0"/>
          <w:color w:val="000000"/>
          <w:sz w:val="21"/>
        </w:rPr>
        <w:t>Dieses Dokument definiert den Umfang ausschließlich der ersten Version (v1.0 / MVP) des Projekts World Engine.</w:t>
      </w:r>
    </w:p>
    <w:p>
      <w:r>
        <w:rPr>
          <w:rFonts w:ascii="Helvetica Neue" w:hAnsi="Helvetica Neue" w:eastAsia="Helvetica Neue"/>
          <w:b w:val="0"/>
          <w:i w:val="0"/>
          <w:color w:val="000000"/>
          <w:sz w:val="21"/>
        </w:rPr>
        <w:t>Es begrenzt die Umsetzung bewusst auf den minimalen Funktionsumfang, der zur Überprüfung der Architektur, des NPC-Gedächtnisses, der Ereignisverarbeitung, der Persistenz und der AI-Interaktion benötigt wird.</w:t>
      </w:r>
    </w:p>
    <w:p>
      <w:r>
        <w:rPr>
          <w:rFonts w:ascii="Helvetica Neue" w:hAnsi="Helvetica Neue" w:eastAsia="Helvetica Neue"/>
          <w:b w:val="0"/>
          <w:i w:val="0"/>
          <w:color w:val="000000"/>
          <w:sz w:val="21"/>
        </w:rPr>
        <w:t>Alle Funktionen außerhalb von Version 1.0 werden separat im Product Roadmap dokumentiert und gehören nicht zu diesem Scope.</w:t>
      </w:r>
    </w:p>
    <w:p>
      <w:pPr>
        <w:pStyle w:val="Heading2"/>
      </w:pPr>
      <w:r>
        <w:t>2. Scope Statement</w:t>
      </w:r>
    </w:p>
    <w:p>
      <w:r>
        <w:rPr>
          <w:rFonts w:ascii="Helvetica Neue" w:hAnsi="Helvetica Neue" w:eastAsia="Helvetica Neue"/>
          <w:b w:val="0"/>
          <w:i w:val="0"/>
          <w:color w:val="000000"/>
          <w:sz w:val="21"/>
        </w:rPr>
        <w:t>Version 1.0 erzeugt eine grundlegende lebendige Simulation der Skyrim-Welt über World Engine.</w:t>
      </w:r>
    </w:p>
    <w:p>
      <w:r>
        <w:rPr>
          <w:rFonts w:ascii="Helvetica Neue" w:hAnsi="Helvetica Neue" w:eastAsia="Helvetica Neue"/>
          <w:b w:val="0"/>
          <w:i w:val="0"/>
          <w:color w:val="000000"/>
          <w:sz w:val="21"/>
        </w:rPr>
        <w:t>Im Rahmen von v1.0 muss das Projekt zeigen, dass Spielereignisse über den Adapter in das System gelangen, vom Core verarbeitet werden, den Weltzustand beeinflussen, gespeichert werden und als sichtbare Weltreaktionen in die Spielwelt zurückkehren.</w:t>
      </w:r>
    </w:p>
    <w:p>
      <w:pPr>
        <w:pStyle w:val="Heading2"/>
      </w:pPr>
      <w:r>
        <w:t>3. In Scope (Version 1.0)</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Included Area</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What it means in 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Core Platform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Grundlegendes Core, Modulregistrierung, Lifecycle, Koordination und Ereignisrouting.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Event Processing</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Spielereignisse laufen durch den Event Engine und lösen Systemreaktionen aus.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Game Adapter (Skyrim)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Verbindung zwischen Skyrim und World Engine über eine klar definierte Integrationsgrenze.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Persistence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Save/Load und Erhalt des kritischen Weltzustands über Sitzungen hinweg.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Memory System</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NPCs speichern bedeutende Ereignisse und nutzen sie später.</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Character State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Basiszustand der NPCs: Status, Rolle, Bedeutung, Verhaltensänderungen.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Relationship Tracking</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Beziehungen von NPCs zum Spieler und untereinander ändern sich durch Ereignisse.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Dialogue Engine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Kontextbezogene Repliken und Fallback-Antworten mit Erinnerung und Weltzustand.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 External AI Adapter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Anbindung eines lokalen Modells oder externer APIs als austauschbare Komponente.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Mod Change Detection</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Grundlegende Erkennung von Mod-Änderungen ohne tiefe Vollautomatisierung.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Documentation &amp; Release Package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Kern-Dokumentation, öffentliches Repository, Version v1.0 und Demo-Artefakte.</w:t>
            </w:r>
          </w:p>
        </w:tc>
      </w:tr>
    </w:tbl>
    <w:p>
      <w:pPr>
        <w:spacing w:after="40"/>
      </w:pPr>
    </w:p>
    <w:p>
      <w:pPr>
        <w:pStyle w:val="Heading2"/>
      </w:pPr>
      <w:r>
        <w:t>4. Explicit Out of Scope (Version 1.0)</w:t>
      </w:r>
    </w:p>
    <w:p>
      <w:pPr>
        <w:ind w:left="360" w:hanging="216"/>
      </w:pPr>
      <w:r>
        <w:t>• Economy Engine</w:t>
      </w:r>
    </w:p>
    <w:p>
      <w:pPr>
        <w:ind w:left="360" w:hanging="216"/>
      </w:pPr>
      <w:r>
        <w:t>• Politics Engine</w:t>
      </w:r>
    </w:p>
    <w:p>
      <w:pPr>
        <w:ind w:left="360" w:hanging="216"/>
      </w:pPr>
      <w:r>
        <w:t>• Organization Engine (full depth)</w:t>
      </w:r>
    </w:p>
    <w:p>
      <w:pPr>
        <w:ind w:left="360" w:hanging="216"/>
      </w:pPr>
      <w:r>
        <w:t>• Quest Engine (full systemic version)</w:t>
      </w:r>
    </w:p>
    <w:p>
      <w:pPr>
        <w:ind w:left="360" w:hanging="216"/>
      </w:pPr>
      <w:r>
        <w:t>• Families, children, inheritance chains</w:t>
      </w:r>
    </w:p>
    <w:p>
      <w:pPr>
        <w:ind w:left="360" w:hanging="216"/>
      </w:pPr>
      <w:r>
        <w:t>• Full automatic mod integration</w:t>
      </w:r>
    </w:p>
    <w:p>
      <w:pPr>
        <w:ind w:left="360" w:hanging="216"/>
      </w:pPr>
      <w:r>
        <w:t>• Knowledge Diffusion Engine</w:t>
      </w:r>
    </w:p>
    <w:p>
      <w:pPr>
        <w:ind w:left="360" w:hanging="216"/>
      </w:pPr>
      <w:r>
        <w:t>• Multi-game support</w:t>
      </w:r>
    </w:p>
    <w:p>
      <w:pPr>
        <w:ind w:left="360" w:hanging="216"/>
      </w:pPr>
      <w:r>
        <w:t>• VR support</w:t>
      </w:r>
    </w:p>
    <w:p>
      <w:pPr>
        <w:ind w:left="360" w:hanging="216"/>
      </w:pPr>
      <w:r>
        <w:t>• Large-scale continent simulation</w:t>
      </w:r>
    </w:p>
    <w:p>
      <w:pPr>
        <w:ind w:left="360" w:hanging="216"/>
      </w:pPr>
      <w:r>
        <w:t>• Massive fully autonomous population management</w:t>
      </w:r>
    </w:p>
    <w:p>
      <w:pPr>
        <w:pStyle w:val="Heading2"/>
      </w:pPr>
      <w:r>
        <w:t>5. Project Boundaries</w:t>
      </w:r>
    </w:p>
    <w:p>
      <w:pPr>
        <w:ind w:left="360" w:hanging="216"/>
      </w:pPr>
      <w:r>
        <w:t>• World Engine ersetzt Skyrim nicht, sondern ergänzt das Spiel über eine kontrollierte Adapter-Schicht.</w:t>
      </w:r>
    </w:p>
    <w:p>
      <w:pPr>
        <w:ind w:left="360" w:hanging="216"/>
      </w:pPr>
      <w:r>
        <w:t>• Der Core enthält keine spielspezifische Logik.</w:t>
      </w:r>
    </w:p>
    <w:p>
      <w:pPr>
        <w:ind w:left="360" w:hanging="216"/>
      </w:pPr>
      <w:r>
        <w:t>• Die AI-Schicht besitzt nicht die einzige Wahrheit des Systems, sondern reagiert auf Weltzustand und Gedächtnis.</w:t>
      </w:r>
    </w:p>
    <w:p>
      <w:pPr>
        <w:ind w:left="360" w:hanging="216"/>
      </w:pPr>
      <w:r>
        <w:t>• Die Persistenz speichert den Zustand, entscheidet aber keine Spielregeln.</w:t>
      </w:r>
    </w:p>
    <w:p>
      <w:pPr>
        <w:ind w:left="360" w:hanging="216"/>
      </w:pPr>
      <w:r>
        <w:t>• Die erste Version muss klein genug bleiben, um vollständig fertiggestellt und geprüft zu werden.</w:t>
      </w:r>
    </w:p>
    <w:p>
      <w:pPr>
        <w:pStyle w:val="Heading2"/>
      </w:pPr>
      <w:r>
        <w:t>6. External Dependencies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Dependency</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Why it is needed</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Skyrim SE/AE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Erstes Integrationsziel und Quelle der In-Game-Ereignisse.</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SKSE / modding stack</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Ermöglicht Integrationsmöglichkeiten mit der Laufzeit des Spiels.</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Local AI model or external AI provider</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Lieferant für optionale intelligente Dialoge und Reasoning.</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GitHub</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Quellcodeverwaltung, öffentliche Historie und Release-Verteilung.</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Consumer hardware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Definiert realistische Performance-Grenzen für v1.0.</w:t>
            </w:r>
          </w:p>
        </w:tc>
      </w:tr>
    </w:tbl>
    <w:p>
      <w:pPr>
        <w:spacing w:after="40"/>
      </w:pPr>
    </w:p>
    <w:p>
      <w:pPr>
        <w:pStyle w:val="Heading2"/>
      </w:pPr>
      <w:r>
        <w:t>7. Technical Boundaries</w:t>
      </w:r>
    </w:p>
    <w:p>
      <w:pPr>
        <w:ind w:left="360" w:hanging="216"/>
      </w:pPr>
      <w:r>
        <w:t>• Keine direkten Modul-zu-Modul-Abkürzungen außerhalb definierter Verträge.</w:t>
      </w:r>
    </w:p>
    <w:p>
      <w:pPr>
        <w:ind w:left="360" w:hanging="216"/>
      </w:pPr>
      <w:r>
        <w:t>• Keine zyklischen Abhängigkeiten.</w:t>
      </w:r>
    </w:p>
    <w:p>
      <w:pPr>
        <w:ind w:left="360" w:hanging="216"/>
      </w:pPr>
      <w:r>
        <w:t>• Keine Spiel-Logik in der Persistenz.</w:t>
      </w:r>
    </w:p>
    <w:p>
      <w:pPr>
        <w:ind w:left="360" w:hanging="216"/>
      </w:pPr>
      <w:r>
        <w:t>• Keine direkte Datenbanknutzung durch AI als Wahrheitsschicht.</w:t>
      </w:r>
    </w:p>
    <w:p>
      <w:pPr>
        <w:ind w:left="360" w:hanging="216"/>
      </w:pPr>
      <w:r>
        <w:t>• Kein vollständiger Rescan aller Spieldateien bei jedem Start.</w:t>
      </w:r>
    </w:p>
    <w:p>
      <w:pPr>
        <w:ind w:left="360" w:hanging="216"/>
      </w:pPr>
      <w:r>
        <w:t>• Keine Architekturänderung ohne Dokumentation und Review.</w:t>
      </w:r>
    </w:p>
    <w:p>
      <w:pPr>
        <w:pStyle w:val="Heading2"/>
      </w:pPr>
      <w:r>
        <w:t>8. Scope Freeze Rules</w:t>
      </w:r>
    </w:p>
    <w:p>
      <w:pPr>
        <w:ind w:left="360" w:hanging="216"/>
      </w:pPr>
      <w:r>
        <w:t>• Nach Freigabe dürfen keine neuen Funktionen in v1.0 aufgenommen werden, außer sie sind zwingend nötig für das MVP-Ziel.</w:t>
      </w:r>
    </w:p>
    <w:p>
      <w:pPr>
        <w:ind w:left="360" w:hanging="216"/>
      </w:pPr>
      <w:r>
        <w:t>• Jede neue Anforderung, die die Komplexität erhöht, ohne die MVP-Validierung zu verbessern, wird auf eine spätere Version verschoben.</w:t>
      </w:r>
    </w:p>
    <w:p>
      <w:pPr>
        <w:ind w:left="360" w:hanging="216"/>
      </w:pPr>
      <w:r>
        <w:t>• Scope-Änderungen müssen vor der Implementierung dokumentiert und genehmigt werden.</w:t>
      </w:r>
    </w:p>
    <w:p>
      <w:pPr>
        <w:ind w:left="360" w:hanging="216"/>
      </w:pPr>
      <w:r>
        <w:t>• Wenn eine Funktion den Release-Termin oder die Stabilität gefährdet, wandert sie in die Product Roadmap.</w:t>
      </w:r>
    </w:p>
    <w:p>
      <w:pPr>
        <w:pStyle w:val="Heading2"/>
      </w:pPr>
      <w:r>
        <w:t>9. Future Scope Reference</w:t>
      </w:r>
    </w:p>
    <w:p>
      <w:r>
        <w:rPr>
          <w:rFonts w:ascii="Helvetica Neue" w:hAnsi="Helvetica Neue" w:eastAsia="Helvetica Neue"/>
          <w:b w:val="0"/>
          <w:i w:val="0"/>
          <w:color w:val="000000"/>
          <w:sz w:val="21"/>
        </w:rPr>
        <w:t>Alles, was bewusst außerhalb von v1.0 liegt, wird nicht aus dem Projekt entfernt, sondern separat in Product Roadmap und zukünftigen Modulspezifikationen verfolgt.</w:t>
      </w:r>
    </w:p>
    <w:p>
      <w:r>
        <w:rPr>
          <w:rFonts w:ascii="Helvetica Neue" w:hAnsi="Helvetica Neue" w:eastAsia="Helvetica Neue"/>
          <w:b w:val="0"/>
          <w:i w:val="0"/>
          <w:color w:val="000000"/>
          <w:sz w:val="21"/>
        </w:rPr>
        <w:t>Dieses Dokument ist keine Vision des gesamten Langzeitprojekts. Es ist die Grenze des ersten Lieferobjekts.</w:t>
      </w:r>
    </w:p>
    <w:p>
      <w:pPr>
        <w:pStyle w:val="Heading2"/>
      </w:pPr>
      <w:r>
        <w:t>10. MVP Acceptance Criteria</w:t>
      </w:r>
    </w:p>
    <w:p>
      <w:pPr>
        <w:ind w:left="360" w:hanging="216"/>
      </w:pPr>
      <w:r>
        <w:t>• NPC-Gedächtnis funktioniert über Sitzungen hinweg.</w:t>
      </w:r>
    </w:p>
    <w:p>
      <w:pPr>
        <w:ind w:left="360" w:hanging="216"/>
      </w:pPr>
      <w:r>
        <w:t>• Spielerhandlungen erzeugen sichtbare Folgen in der Welt.</w:t>
      </w:r>
    </w:p>
    <w:p>
      <w:pPr>
        <w:ind w:left="360" w:hanging="216"/>
      </w:pPr>
      <w:r>
        <w:t>• Dialog reagiert auf Kontext und Erinnerung.</w:t>
      </w:r>
    </w:p>
    <w:p>
      <w:pPr>
        <w:ind w:left="360" w:hanging="216"/>
      </w:pPr>
      <w:r>
        <w:t>• Save/Load stellt den kritischen Weltzustand wieder her.</w:t>
      </w:r>
    </w:p>
    <w:p>
      <w:pPr>
        <w:ind w:left="360" w:hanging="216"/>
      </w:pPr>
      <w:r>
        <w:t>• Die Integration mit dem Spiel funktioniert über die Adapter-Schicht.</w:t>
      </w:r>
    </w:p>
    <w:p>
      <w:pPr>
        <w:ind w:left="360" w:hanging="216"/>
      </w:pPr>
      <w:r>
        <w:t>• Die Umsetzung bleibt innerhalb des vereinbarten Umfangs.</w:t>
      </w:r>
    </w:p>
    <w:p>
      <w:pPr>
        <w:pStyle w:val="Heading2"/>
      </w:pPr>
      <w:r>
        <w:t>11. Scope Change Policy</w:t>
      </w:r>
    </w:p>
    <w:p>
      <w:pPr>
        <w:ind w:left="360" w:hanging="216"/>
      </w:pPr>
      <w:r>
        <w:t>• Jede Erweiterung des Umfangs muss vor dem Coding besprochen werden.</w:t>
      </w:r>
    </w:p>
    <w:p>
      <w:pPr>
        <w:ind w:left="360" w:hanging="216"/>
      </w:pPr>
      <w:r>
        <w:t>• Erweiterungen werden nur akzeptiert, wenn sie die Verifikation von v1.0 stärken.</w:t>
      </w:r>
    </w:p>
    <w:p>
      <w:pPr>
        <w:ind w:left="360" w:hanging="216"/>
      </w:pPr>
      <w:r>
        <w:t>• Andernfalls werden sie in die Product Roadmap und spätere Versionen verschoben.</w:t>
      </w:r>
    </w:p>
    <w:p>
      <w:pPr>
        <w:ind w:left="360" w:hanging="216"/>
      </w:pPr>
      <w:r>
        <w:t>• Der Umfang wird während der Entwicklung nicht standardmäßig erweitert.</w:t>
      </w:r>
    </w:p>
    <w:p>
      <w:pPr>
        <w:pStyle w:val="Heading2"/>
      </w:pPr>
      <w:r>
        <w:t>12. Related Documents</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4896"/>
        <w:gridCol w:w="4896"/>
      </w:tblGrid>
      <w:tr>
        <w:trPr>
          <w:tblHeader w:val="true"/>
        </w:trPr>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Document</w:t>
            </w:r>
          </w:p>
        </w:tc>
        <w:tc>
          <w:tcPr>
            <w:tcW w:type="dxa" w:w="4896"/>
            <w:shd w:fill="17365D"/>
            <w:vAlign w:val="center"/>
            <w:tcMar>
              <w:top w:w="55" w:type="dxa"/>
              <w:start w:w="70" w:type="dxa"/>
              <w:bottom w:w="55" w:type="dxa"/>
              <w:end w:w="70" w:type="dxa"/>
            </w:tcMar>
          </w:tcPr>
          <w:p>
            <w:r/>
            <w:r>
              <w:rPr>
                <w:rFonts w:ascii="Helvetica Neue" w:hAnsi="Helvetica Neue" w:eastAsia="Helvetica Neue"/>
                <w:b/>
                <w:color w:val="FFFFFF"/>
                <w:sz w:val="18"/>
              </w:rPr>
              <w:t>Purpose</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Vision</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Langfristige Richtung und Projektabsicht.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Project Charter</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Offizielle Projektfreigabe und übergeordnete Grenzen.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Project Principles</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Leitregeln für das Projekt.</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Product Roadmap</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Release-Fortschritt nach v1.0.</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Implementation Roadmap</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Technische Reihenfolge des Aufbaus.</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System Architecture</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Architekturebenen und Systemstruktur.</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Architecture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Modulbeziehungen und Grenzen.</w:t>
            </w:r>
          </w:p>
        </w:tc>
      </w:tr>
      <w:tr>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Data Flow</w:t>
            </w:r>
          </w:p>
        </w:tc>
        <w:tc>
          <w:tcPr>
            <w:tcW w:type="dxa" w:w="4896"/>
            <w:shd w:fill="F3F5F7"/>
            <w:vAlign w:val="center"/>
            <w:tcMar>
              <w:top w:w="55" w:type="dxa"/>
              <w:start w:w="70" w:type="dxa"/>
              <w:bottom w:w="55" w:type="dxa"/>
              <w:end w:w="70" w:type="dxa"/>
            </w:tcMar>
          </w:tcPr>
          <w:p>
            <w:r/>
            <w:r>
              <w:rPr>
                <w:rFonts w:ascii="Helvetica Neue" w:hAnsi="Helvetica Neue" w:eastAsia="Helvetica Neue"/>
                <w:b w:val="0"/>
                <w:color w:val="000000"/>
                <w:sz w:val="18"/>
              </w:rPr>
              <w:t>Wie Ereignisse und Daten durch das System fließen.</w:t>
            </w:r>
          </w:p>
        </w:tc>
      </w:tr>
      <w:tr>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Module Specification Template</w:t>
            </w:r>
          </w:p>
        </w:tc>
        <w:tc>
          <w:tcPr>
            <w:tcW w:type="dxa" w:w="4896"/>
            <w:vAlign w:val="center"/>
            <w:tcMar>
              <w:top w:w="55" w:type="dxa"/>
              <w:start w:w="70" w:type="dxa"/>
              <w:bottom w:w="55" w:type="dxa"/>
              <w:end w:w="70" w:type="dxa"/>
            </w:tcMar>
          </w:tcPr>
          <w:p>
            <w:r/>
            <w:r>
              <w:rPr>
                <w:rFonts w:ascii="Helvetica Neue" w:hAnsi="Helvetica Neue" w:eastAsia="Helvetica Neue"/>
                <w:b w:val="0"/>
                <w:color w:val="000000"/>
                <w:sz w:val="18"/>
              </w:rPr>
              <w:t>Standardstruktur für Moduldokumente.</w:t>
            </w:r>
          </w:p>
        </w:tc>
      </w:tr>
    </w:tbl>
    <w:p>
      <w:pPr>
        <w:spacing w:after="40"/>
      </w:pPr>
    </w:p>
    <w:p>
      <w:pPr>
        <w:pStyle w:val="Heading2"/>
      </w:pPr>
      <w:r>
        <w:t>Approval</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Name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Signature / Date</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Project Owner</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__________________ / __.__.2026</w:t>
            </w:r>
          </w:p>
        </w:tc>
      </w:tr>
      <w:tr>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Documentation Lead</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Andrii Drahulskyi</w:t>
            </w:r>
          </w:p>
        </w:tc>
        <w:tc>
          <w:tcPr>
            <w:tcW w:type="dxa" w:w="3264"/>
            <w:shd w:fill="F3F5F7"/>
            <w:vAlign w:val="center"/>
            <w:tcMar>
              <w:top w:w="55" w:type="dxa"/>
              <w:start w:w="70" w:type="dxa"/>
              <w:bottom w:w="55" w:type="dxa"/>
              <w:end w:w="70" w:type="dxa"/>
            </w:tcMar>
          </w:tcPr>
          <w:p>
            <w:r/>
            <w:r>
              <w:rPr>
                <w:rFonts w:ascii="Helvetica Neue" w:hAnsi="Helvetica Neue" w:eastAsia="Helvetica Neue"/>
                <w:b w:val="0"/>
                <w:color w:val="000000"/>
                <w:sz w:val="18"/>
              </w:rPr>
              <w:t>__________________ / __.__.2026</w:t>
            </w:r>
          </w:p>
        </w:tc>
      </w:tr>
    </w:tbl>
    <w:p>
      <w:pPr>
        <w:spacing w:after="40"/>
      </w:pPr>
    </w:p>
    <w:p>
      <w:pPr>
        <w:pStyle w:val="Heading2"/>
      </w:pPr>
      <w:r>
        <w:t>Change Log</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Version</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Date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Changes</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v3.0</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2026-08-06</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Finalen Projektumfang für Version 1.0 erstellt, einschließlich Grenzen, Ausschlüssen, Freeze-Regeln und Akzeptanzkriterien.</w:t>
            </w:r>
          </w:p>
        </w:tc>
      </w:tr>
    </w:tbl>
    <w:p>
      <w:pPr>
        <w:spacing w:after="40"/>
      </w:pPr>
    </w:p>
    <w:p>
      <w:pPr>
        <w:pStyle w:val="Heading1"/>
      </w:pPr>
      <w:r>
        <w:t>Vollständige Detailspezifikation und Nachvollziehbarkeit</w:t>
      </w:r>
    </w:p>
    <w:p>
      <w:pPr>
        <w:pStyle w:val="Heading1"/>
      </w:pPr>
      <w:r>
        <w:t>Verzeichnis der verwendeten Quellen</w:t>
      </w:r>
    </w:p>
    <w:tbl>
      <w:tblPr>
        <w:tblW w:type="auto" w:w="0"/>
        <w:tblLayout w:type="autofit"/>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264"/>
        <w:gridCol w:w="3264"/>
        <w:gridCol w:w="3264"/>
      </w:tblGrid>
      <w:tr>
        <w:trPr>
          <w:tblHeader w:val="true"/>
        </w:trPr>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Pfad</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Rolle</w:t>
            </w:r>
          </w:p>
        </w:tc>
        <w:tc>
          <w:tcPr>
            <w:tcW w:type="dxa" w:w="3264"/>
            <w:shd w:fill="17365D"/>
            <w:vAlign w:val="center"/>
            <w:tcMar>
              <w:top w:w="55" w:type="dxa"/>
              <w:start w:w="70" w:type="dxa"/>
              <w:bottom w:w="55" w:type="dxa"/>
              <w:end w:w="70" w:type="dxa"/>
            </w:tcMar>
          </w:tcPr>
          <w:p>
            <w:r/>
            <w:r>
              <w:rPr>
                <w:rFonts w:ascii="Helvetica Neue" w:hAnsi="Helvetica Neue" w:eastAsia="Helvetica Neue"/>
                <w:b/>
                <w:color w:val="FFFFFF"/>
                <w:sz w:val="18"/>
              </w:rPr>
              <w:t>SHA-256</w:t>
            </w:r>
          </w:p>
        </w:tc>
      </w:tr>
      <w:tr>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docs/00_Project_Management/DOC-006_World_Engine_Project_Scope_DE_v3.docx</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Normative Quelle</w:t>
            </w:r>
          </w:p>
        </w:tc>
        <w:tc>
          <w:tcPr>
            <w:tcW w:type="dxa" w:w="3264"/>
            <w:vAlign w:val="center"/>
            <w:tcMar>
              <w:top w:w="55" w:type="dxa"/>
              <w:start w:w="70" w:type="dxa"/>
              <w:bottom w:w="55" w:type="dxa"/>
              <w:end w:w="70" w:type="dxa"/>
            </w:tcMar>
          </w:tcPr>
          <w:p>
            <w:r/>
            <w:r>
              <w:rPr>
                <w:rFonts w:ascii="Helvetica Neue" w:hAnsi="Helvetica Neue" w:eastAsia="Helvetica Neue"/>
                <w:b w:val="0"/>
                <w:color w:val="000000"/>
                <w:sz w:val="18"/>
              </w:rPr>
              <w:t>fb2e909c8add5bf8</w:t>
            </w:r>
          </w:p>
        </w:tc>
      </w:tr>
    </w:tbl>
    <w:p>
      <w:pPr>
        <w:spacing w:after="40"/>
      </w:pPr>
    </w:p>
    <w:sectPr>
      <w:headerReference w:type="default" r:id="rId9"/>
      <w:footerReference w:type="default" r:id="rId10"/>
      <w:pgSz w:w="12240" w:h="15840"/>
      <w:pgMar w:top="1224" w:right="1224" w:bottom="1152" w:left="1224" w:header="504"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type="auto" w:w="0"/>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488"/>
      <w:gridCol w:w="2304"/>
    </w:tblGrid>
    <w:tr>
      <w:trPr>
        <w:tblHeader w:val="true"/>
      </w:trPr>
      <w:tc>
        <w:tcPr>
          <w:tcW w:type="dxa" w:w="4896"/>
          <w:tcMar>
            <w:top w:w="0" w:type="dxa"/>
            <w:start w:w="0" w:type="dxa"/>
            <w:bottom w:w="0" w:type="dxa"/>
            <w:end w:w="0" w:type="dxa"/>
          </w:tcMar>
        </w:tcPr>
        <w:p>
          <w:r>
            <w:rPr>
              <w:rFonts w:ascii="Helvetica Neue" w:hAnsi="Helvetica Neue" w:eastAsia="Helvetica Neue"/>
              <w:b w:val="0"/>
              <w:color w:val="667085"/>
              <w:sz w:val="15"/>
            </w:rPr>
            <w:t>Architektur-auditiert — vollständige konsolidierte Fassung</w:t>
          </w:r>
        </w:p>
      </w:tc>
      <w:tc>
        <w:tcPr>
          <w:tcW w:type="dxa" w:w="4896"/>
          <w:tcMar>
            <w:top w:w="0" w:type="dxa"/>
            <w:start w:w="0" w:type="dxa"/>
            <w:bottom w:w="0" w:type="dxa"/>
            <w:end w:w="0" w:type="dxa"/>
          </w:tcMar>
        </w:tcPr>
        <w:p>
          <w:pPr>
            <w:jc w:val="right"/>
          </w:pPr>
          <w:r>
            <w:rPr>
              <w:rFonts w:ascii="Helvetica Neue" w:hAnsi="Helvetica Neue" w:eastAsia="Helvetica Neue"/>
              <w:b w:val="0"/>
              <w:color w:val="667085"/>
              <w:sz w:val="15"/>
            </w:rPr>
            <w:t xml:space="preserve">PAGE </w:t>
          </w:r>
          <w:r>
            <w:fldChar w:fldCharType="begin"/>
            <w:instrText xml:space="preserve">PAGE</w:instrText>
            <w:fldChar w:fldCharType="separate"/>
            <w:t>1</w:t>
            <w:fldChar w:fldCharType="end"/>
          </w:r>
          <w:r>
            <w:rPr>
              <w:rFonts w:ascii="Helvetica Neue" w:hAnsi="Helvetica Neue" w:eastAsia="Helvetica Neue"/>
              <w:b w:val="0"/>
              <w:color w:val="667085"/>
              <w:sz w:val="15"/>
            </w:rPr>
            <w:t xml:space="preserve"> / </w:t>
          </w:r>
          <w:r>
            <w:fldChar w:fldCharType="begin"/>
            <w:instrText xml:space="preserve">NUMPAGES</w:instrText>
            <w:fldChar w:fldCharType="separate"/>
            <w:t>1</w:t>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left"/>
      <w:pBdr>
        <w:bottom w:val="single" w:sz="8" w:space="4" w:color="17365D"/>
      </w:pBdr>
    </w:pPr>
    <w:r>
      <w:rPr>
        <w:rFonts w:ascii="Helvetica Neue" w:hAnsi="Helvetica Neue" w:eastAsia="Helvetica Neue"/>
        <w:b/>
        <w:color w:val="17365D"/>
        <w:sz w:val="17"/>
      </w:rPr>
      <w:t>WORLD ENGINE   /   DOC-006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59" w:lineRule="auto"/>
    </w:pPr>
    <w:rPr>
      <w:rFonts w:ascii="Helvetica Neue" w:hAnsi="Helvetica Neue" w:eastAsia="Helvetica Neue"/>
      <w:b w:val="0"/>
      <w:color w:val="000000"/>
      <w:sz w:val="21"/>
    </w:rPr>
  </w:style>
  <w:style w:type="paragraph" w:styleId="Heading1">
    <w:name w:val="heading 1"/>
    <w:basedOn w:val="Normal"/>
    <w:next w:val="Normal"/>
    <w:uiPriority w:val="9"/>
    <w:qFormat/>
    <w:pPr>
      <w:keepNext/>
      <w:spacing w:before="320" w:after="140" w:line="259" w:lineRule="auto"/>
      <w:outlineLvl w:val="0"/>
    </w:pPr>
    <w:rPr>
      <w:rFonts w:ascii="Helvetica Neue" w:eastAsia="Helvetica Neue" w:hAnsi="Helvetica Neue" w:cs="Helvetica Neue"/>
      <w:b/>
      <w:bCs/>
      <w:color w:val="000000"/>
      <w:sz w:val="36"/>
      <w:szCs w:val="30"/>
    </w:rPr>
  </w:style>
  <w:style w:type="paragraph" w:styleId="Heading2">
    <w:name w:val="heading 2"/>
    <w:basedOn w:val="Normal"/>
    <w:next w:val="Normal"/>
    <w:uiPriority w:val="9"/>
    <w:unhideWhenUsed/>
    <w:qFormat/>
    <w:pPr>
      <w:keepNext/>
      <w:spacing w:before="240" w:after="100" w:line="259" w:lineRule="auto"/>
      <w:outlineLvl w:val="1"/>
    </w:pPr>
    <w:rPr>
      <w:rFonts w:ascii="Helvetica Neue" w:eastAsia="Helvetica Neue" w:hAnsi="Helvetica Neue" w:cs="Helvetica Neue"/>
      <w:b/>
      <w:bCs/>
      <w:color w:val="000000"/>
      <w:sz w:val="28"/>
    </w:rPr>
  </w:style>
  <w:style w:type="paragraph" w:styleId="Heading3">
    <w:name w:val="heading 3"/>
    <w:basedOn w:val="Normal"/>
    <w:next w:val="Normal"/>
    <w:uiPriority w:val="9"/>
    <w:unhideWhenUsed/>
    <w:qFormat/>
    <w:pPr>
      <w:keepNext/>
      <w:pBdr>
        <w:top w:val="nil"/>
        <w:left w:val="nil"/>
        <w:bottom w:val="nil"/>
        <w:right w:val="nil"/>
        <w:between w:val="nil"/>
      </w:pBdr>
      <w:spacing w:before="180" w:after="80" w:line="259" w:lineRule="auto"/>
      <w:outlineLvl w:val="2"/>
    </w:pPr>
    <w:rPr>
      <w:rFonts w:ascii="Helvetica Neue" w:hAnsi="Helvetica Neue" w:eastAsia="Helvetica Neue"/>
      <w:b/>
      <w:bCs/>
      <w:color w:val="000000"/>
      <w:sz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after="280" w:line="259" w:lineRule="auto"/>
      <w:jc w:val="center"/>
    </w:pPr>
    <w:rPr>
      <w:rFonts w:ascii="Helvetica Neue" w:eastAsia="Helvetica Neue" w:hAnsi="Helvetica Neue" w:cs="Helvetica Neue"/>
      <w:b/>
      <w:bCs/>
      <w:color w:val="000000"/>
      <w:sz w:val="56"/>
      <w:szCs w:val="72"/>
    </w:rPr>
  </w:style>
  <w:style w:type="paragraph" w:styleId="Subtitle">
    <w:name w:val="Subtitle"/>
    <w:basedOn w:val="Normal"/>
    <w:next w:val="Normal"/>
    <w:uiPriority w:val="11"/>
    <w:qFormat/>
    <w:pPr>
      <w:keepNext/>
      <w:keepLines/>
      <w:spacing w:before="0" w:after="160" w:line="259" w:lineRule="auto"/>
    </w:pPr>
    <w:rPr>
      <w:rFonts w:ascii="Helvetica Neue" w:eastAsia="Helvetica Neue" w:hAnsi="Helvetica Neue" w:cs="Georgia"/>
      <w:b w:val="0"/>
      <w:i/>
      <w:iCs/>
      <w:color w:val="000000"/>
      <w:sz w:val="22"/>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 w:type="paragraph" w:customStyle="1" w:styleId="Caption">
    <w:name w:val="caption"/>
    <w:pPr>
      <w:spacing w:before="80" w:after="160" w:line="259" w:lineRule="auto"/>
    </w:pPr>
    <w:rPr>
      <w:rFonts w:ascii="Helvetica Neue" w:hAnsi="Helvetica Neue" w:eastAsia="Helvetica Neue"/>
      <w:b w:val="0"/>
      <w:color w:val="000000"/>
      <w:sz w:val="18"/>
    </w:rPr>
  </w:style>
  <w:style w:type="paragraph" w:customStyle="1" w:styleId="CodeBlock">
    <w:name w:val="Code Block"/>
    <w:pPr>
      <w:spacing w:after="100"/>
      <w:ind w:left="288"/>
    </w:pPr>
    <w:rPr>
      <w:rFonts w:ascii="Consolas" w:hAnsi="Consolas" w:eastAsia="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DOC-006 — Projektumfang von World Engine</dc:title>
  <dc:subject>World Engine full content architecture-audited documentation</dc:subject>
  <dc:creator>World Engine project</dc:creator>
  <cp:keywords>World Engine, architecture, audited, complete</cp:keywords>
  <dc:description>Generated from the complete audited repository source set.</dc:description>
</cp:coreProperties>
</file>