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before="1000"/>
        <w:jc w:val="center"/>
      </w:pPr>
      <w:r>
        <w:rPr>
          <w:rFonts w:ascii="Helvetica Neue" w:hAnsi="Helvetica Neue" w:eastAsia="Helvetica Neue"/>
          <w:b/>
          <w:color w:val="17365D"/>
          <w:sz w:val="22"/>
        </w:rPr>
        <w:t>WORLD ENGINE   /   ARCH-004</w:t>
      </w:r>
    </w:p>
    <w:p>
      <w:pPr>
        <w:pStyle w:val="Title"/>
        <w:spacing w:before="720"/>
        <w:jc w:val="center"/>
      </w:pPr>
      <w:r>
        <w:t>Architekturprinzipien und Abhängigkeitsregeln</w:t>
      </w:r>
    </w:p>
    <w:p>
      <w:pPr>
        <w:jc w:val="center"/>
      </w:pPr>
      <w:r>
        <w:rPr>
          <w:rFonts w:ascii="Helvetica Neue" w:hAnsi="Helvetica Neue" w:eastAsia="Helvetica Neue"/>
          <w:b/>
          <w:color w:val="667085"/>
          <w:sz w:val="20"/>
        </w:rPr>
        <w:t>FULL CONTENT · ARCHITECTURE AUDITED · COMPLETE</w:t>
      </w:r>
    </w:p>
    <w:p/>
    <w:tbl>
      <w:tblPr>
        <w:tblW w:type="auto" w:w="0"/>
        <w:tblLayout w:type="fixed"/>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2304"/>
            <w:shd w:fill="17365D"/>
            <w:vAlign w:val="center"/>
            <w:tcMar>
              <w:top w:w="80" w:type="dxa"/>
              <w:start w:w="100" w:type="dxa"/>
              <w:bottom w:w="80" w:type="dxa"/>
              <w:end w:w="100" w:type="dxa"/>
            </w:tcMar>
          </w:tcPr>
          <w:p>
            <w:r/>
            <w:r>
              <w:rPr>
                <w:rFonts w:ascii="Helvetica Neue" w:hAnsi="Helvetica Neue" w:eastAsia="Helvetica Neue"/>
                <w:b/>
                <w:color w:val="FFFFFF"/>
                <w:sz w:val="18"/>
              </w:rPr>
              <w:t>Kennung</w:t>
            </w:r>
          </w:p>
        </w:tc>
        <w:tc>
          <w:tcPr>
            <w:tcW w:type="dxa" w:w="7200"/>
            <w:shd w:fill="FFFFFF"/>
            <w:vAlign w:val="center"/>
            <w:tcMar>
              <w:top w:w="80" w:type="dxa"/>
              <w:start w:w="100" w:type="dxa"/>
              <w:bottom w:w="80" w:type="dxa"/>
              <w:end w:w="100" w:type="dxa"/>
            </w:tcMar>
          </w:tcPr>
          <w:p>
            <w:r/>
            <w:r>
              <w:rPr>
                <w:rFonts w:ascii="Helvetica Neue" w:hAnsi="Helvetica Neue" w:eastAsia="Helvetica Neue"/>
                <w:b w:val="0"/>
                <w:color w:val="000000"/>
                <w:sz w:val="18"/>
              </w:rPr>
              <w:t>ARCH-004</w:t>
            </w:r>
          </w:p>
        </w:tc>
      </w:tr>
      <w:tr>
        <w:tc>
          <w:tcPr>
            <w:tcW w:type="dxa" w:w="2304"/>
            <w:shd w:fill="17365D"/>
            <w:vAlign w:val="center"/>
            <w:tcMar>
              <w:top w:w="80" w:type="dxa"/>
              <w:start w:w="100" w:type="dxa"/>
              <w:bottom w:w="80" w:type="dxa"/>
              <w:end w:w="100" w:type="dxa"/>
            </w:tcMar>
          </w:tcPr>
          <w:p>
            <w:r/>
            <w:r>
              <w:rPr>
                <w:rFonts w:ascii="Helvetica Neue" w:hAnsi="Helvetica Neue" w:eastAsia="Helvetica Neue"/>
                <w:b/>
                <w:color w:val="FFFFFF"/>
                <w:sz w:val="18"/>
              </w:rPr>
              <w:t>Version</w:t>
            </w:r>
          </w:p>
        </w:tc>
        <w:tc>
          <w:tcPr>
            <w:tcW w:type="dxa" w:w="7200"/>
            <w:shd w:fill="F3F5F7"/>
            <w:vAlign w:val="center"/>
            <w:tcMar>
              <w:top w:w="80" w:type="dxa"/>
              <w:start w:w="100" w:type="dxa"/>
              <w:bottom w:w="80" w:type="dxa"/>
              <w:end w:w="100" w:type="dxa"/>
            </w:tcMar>
          </w:tcPr>
          <w:p>
            <w:r/>
            <w:r>
              <w:rPr>
                <w:rFonts w:ascii="Helvetica Neue" w:hAnsi="Helvetica Neue" w:eastAsia="Helvetica Neue"/>
                <w:b w:val="0"/>
                <w:color w:val="000000"/>
                <w:sz w:val="18"/>
              </w:rPr>
              <w:t>2.0</w:t>
            </w:r>
          </w:p>
        </w:tc>
      </w:tr>
      <w:tr>
        <w:tc>
          <w:tcPr>
            <w:tcW w:type="dxa" w:w="2304"/>
            <w:shd w:fill="17365D"/>
            <w:vAlign w:val="center"/>
            <w:tcMar>
              <w:top w:w="80" w:type="dxa"/>
              <w:start w:w="100" w:type="dxa"/>
              <w:bottom w:w="80" w:type="dxa"/>
              <w:end w:w="100" w:type="dxa"/>
            </w:tcMar>
          </w:tcPr>
          <w:p>
            <w:r/>
            <w:r>
              <w:rPr>
                <w:rFonts w:ascii="Helvetica Neue" w:hAnsi="Helvetica Neue" w:eastAsia="Helvetica Neue"/>
                <w:b/>
                <w:color w:val="FFFFFF"/>
                <w:sz w:val="18"/>
              </w:rPr>
              <w:t>Deutsch</w:t>
            </w:r>
          </w:p>
        </w:tc>
        <w:tc>
          <w:tcPr>
            <w:tcW w:type="dxa" w:w="7200"/>
            <w:shd w:fill="FFFFFF"/>
            <w:vAlign w:val="center"/>
            <w:tcMar>
              <w:top w:w="80" w:type="dxa"/>
              <w:start w:w="100" w:type="dxa"/>
              <w:bottom w:w="80" w:type="dxa"/>
              <w:end w:w="100" w:type="dxa"/>
            </w:tcMar>
          </w:tcPr>
          <w:p>
            <w:r/>
            <w:r>
              <w:rPr>
                <w:rFonts w:ascii="Helvetica Neue" w:hAnsi="Helvetica Neue" w:eastAsia="Helvetica Neue"/>
                <w:b w:val="0"/>
                <w:color w:val="000000"/>
                <w:sz w:val="18"/>
              </w:rPr>
              <w:t>Deutsch</w:t>
            </w:r>
          </w:p>
        </w:tc>
      </w:tr>
      <w:tr>
        <w:tc>
          <w:tcPr>
            <w:tcW w:type="dxa" w:w="2304"/>
            <w:shd w:fill="17365D"/>
            <w:vAlign w:val="center"/>
            <w:tcMar>
              <w:top w:w="80" w:type="dxa"/>
              <w:start w:w="100" w:type="dxa"/>
              <w:bottom w:w="80" w:type="dxa"/>
              <w:end w:w="100" w:type="dxa"/>
            </w:tcMar>
          </w:tcPr>
          <w:p>
            <w:r/>
            <w:r>
              <w:rPr>
                <w:rFonts w:ascii="Helvetica Neue" w:hAnsi="Helvetica Neue" w:eastAsia="Helvetica Neue"/>
                <w:b/>
                <w:color w:val="FFFFFF"/>
                <w:sz w:val="18"/>
              </w:rPr>
              <w:t>Datum</w:t>
            </w:r>
          </w:p>
        </w:tc>
        <w:tc>
          <w:tcPr>
            <w:tcW w:type="dxa" w:w="7200"/>
            <w:shd w:fill="F3F5F7"/>
            <w:vAlign w:val="center"/>
            <w:tcMar>
              <w:top w:w="80" w:type="dxa"/>
              <w:start w:w="100" w:type="dxa"/>
              <w:bottom w:w="80" w:type="dxa"/>
              <w:end w:w="100" w:type="dxa"/>
            </w:tcMar>
          </w:tcPr>
          <w:p>
            <w:r/>
            <w:r>
              <w:rPr>
                <w:rFonts w:ascii="Helvetica Neue" w:hAnsi="Helvetica Neue" w:eastAsia="Helvetica Neue"/>
                <w:b w:val="0"/>
                <w:color w:val="000000"/>
                <w:sz w:val="18"/>
              </w:rPr>
              <w:t>2026-09-04</w:t>
            </w:r>
          </w:p>
        </w:tc>
      </w:tr>
      <w:tr>
        <w:tc>
          <w:tcPr>
            <w:tcW w:type="dxa" w:w="2304"/>
            <w:shd w:fill="17365D"/>
            <w:vAlign w:val="center"/>
            <w:tcMar>
              <w:top w:w="80" w:type="dxa"/>
              <w:start w:w="100" w:type="dxa"/>
              <w:bottom w:w="80" w:type="dxa"/>
              <w:end w:w="100" w:type="dxa"/>
            </w:tcMar>
          </w:tcPr>
          <w:p>
            <w:r/>
            <w:r>
              <w:rPr>
                <w:rFonts w:ascii="Helvetica Neue" w:hAnsi="Helvetica Neue" w:eastAsia="Helvetica Neue"/>
                <w:b/>
                <w:color w:val="FFFFFF"/>
                <w:sz w:val="18"/>
              </w:rPr>
              <w:t>Revisionsstatus</w:t>
            </w:r>
          </w:p>
        </w:tc>
        <w:tc>
          <w:tcPr>
            <w:tcW w:type="dxa" w:w="7200"/>
            <w:shd w:fill="FFFFFF"/>
            <w:vAlign w:val="center"/>
            <w:tcMar>
              <w:top w:w="80" w:type="dxa"/>
              <w:start w:w="100" w:type="dxa"/>
              <w:bottom w:w="80" w:type="dxa"/>
              <w:end w:w="100" w:type="dxa"/>
            </w:tcMar>
          </w:tcPr>
          <w:p>
            <w:r/>
            <w:r>
              <w:rPr>
                <w:rFonts w:ascii="Helvetica Neue" w:hAnsi="Helvetica Neue" w:eastAsia="Helvetica Neue"/>
                <w:b w:val="0"/>
                <w:color w:val="000000"/>
                <w:sz w:val="18"/>
              </w:rPr>
              <w:t>Architektur-auditiert — vollständige konsolidierte Fassung</w:t>
            </w:r>
          </w:p>
        </w:tc>
      </w:tr>
    </w:tbl>
    <w:p>
      <w:pPr>
        <w:spacing w:before="440"/>
        <w:jc w:val="center"/>
      </w:pPr>
      <w:r>
        <w:rPr>
          <w:rFonts w:ascii="Helvetica Neue" w:hAnsi="Helvetica Neue" w:eastAsia="Helvetica Neue"/>
          <w:b/>
          <w:color w:val="17365D"/>
          <w:sz w:val="18"/>
        </w:rPr>
        <w:t>Architektur-auditiert — vollständige konsolidierte Fassung</w:t>
      </w:r>
    </w:p>
    <w:p>
      <w:r>
        <w:br w:type="page"/>
      </w:r>
    </w:p>
    <w:p>
      <w:pPr>
        <w:pStyle w:val="Heading1"/>
      </w:pPr>
      <w:r>
        <w:t>Inhaltsverzeichnis</w:t>
      </w:r>
    </w:p>
    <w:p>
      <w:r>
        <w:fldChar w:fldCharType="begin"/>
        <w:instrText xml:space="preserve">TOC \o "1-3" \h \z \u</w:instrText>
        <w:fldChar w:fldCharType="separate"/>
        <w:t>Inhaltsverzeichnis</w:t>
        <w:fldChar w:fldCharType="end"/>
      </w:r>
    </w:p>
    <w:p>
      <w:r>
        <w:br w:type="page"/>
      </w:r>
    </w:p>
    <w:p>
      <w:pPr>
        <w:pStyle w:val="Heading1"/>
      </w:pPr>
      <w:r>
        <w:t>Zweck und Anwendungsregeln</w:t>
      </w:r>
    </w:p>
    <w:p>
      <w:r>
        <w:t>Dieses Dokument ist die vollständige konsolidierte Fassung. Es vereint die aktuell geprüften Festlegungen, die technische Detailtiefe früherer Versionen, Ergänzungen, Tabellen und Abbildungen. Die geprüfte normative Ebene unten hat Vorrang. Widerspricht ein erhaltener historischer Abschnitt dieser Ebene, gilt die korrigierte normative Regel; der historische Abschnitt bleibt ausschließlich für Vollständigkeit und Nachvollziehbarkeit erhalten.</w:t>
      </w:r>
    </w:p>
    <w:p>
      <w:pPr>
        <w:pStyle w:val="Heading2"/>
      </w:pPr>
      <w:r>
        <w:t>Vorrangregel</w:t>
      </w:r>
    </w:p>
    <w:p>
      <w:pPr>
        <w:keepLines/>
      </w:pPr>
      <w:r>
        <w:t>Normative Aussagen der aktuellen geprüften Fassung ersetzen unvereinbare Aussagen früherer Versionen. Alle übrigen Details früherer Versionen gelten weiter, sofern sie der normativen Ebene nicht widersprechen.</w:t>
      </w:r>
    </w:p>
    <w:p>
      <w:pPr>
        <w:pStyle w:val="Heading1"/>
      </w:pPr>
      <w:r>
        <w:t>Aktuelle geprüfte Spezifikation</w:t>
      </w:r>
    </w:p>
    <w:p>
      <w:pPr>
        <w:pStyle w:val="Heading2"/>
      </w:pPr>
      <w:r>
        <w:t>Normative Quelle: ARCH-004_World_Engine_Architecture_Principles_and_Dependency_Rules_DE_v1_4_Architecture_Audited_Complete.docx</w:t>
      </w:r>
    </w:p>
    <w:p>
      <w:r>
        <w:rPr>
          <w:rFonts w:ascii="Helvetica Neue" w:hAnsi="Helvetica Neue" w:eastAsia="Helvetica Neue"/>
          <w:b w:val="0"/>
          <w:color w:val="667085"/>
          <w:sz w:val="17"/>
        </w:rPr>
        <w:t>docs/01_Architecture/ARCH-004_Architecture_Principles_and_Dependency_Rules/ARCH-004_World_Engine_Architecture_Principles_and_Dependency_Rules_DE_v1_4_Architecture_Audited_Complete.docx</w:t>
      </w:r>
    </w:p>
    <w:p>
      <w:pPr>
        <w:pStyle w:val="Heading2"/>
      </w:pPr>
      <w:r>
        <w:t>Architekturprinzipien und Dependency-Regeln</w:t>
      </w:r>
    </w:p>
    <w:p>
      <w:r>
        <w:rPr>
          <w:rFonts w:ascii="Helvetica Neue" w:hAnsi="Helvetica Neue" w:eastAsia="Helvetica Neue"/>
          <w:i/>
          <w:color w:val="000000"/>
          <w:sz w:val="21"/>
        </w:rPr>
        <w:t>World Engine — Architecture Principles &amp; Dependency Rules</w:t>
      </w:r>
    </w:p>
    <w:p>
      <w:pPr>
        <w:pStyle w:val="Heading2"/>
      </w:pPr>
      <w:r>
        <w:t>World Engine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Projekt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World Engine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Dokument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Architekturprinzipien und Dependency-Regeln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Dokument-ID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ARCH-004</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v1.4</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Status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Architecture Audited Complete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Datum</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2026-09-02</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Autor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Andrii Drahulskyi</w:t>
            </w:r>
          </w:p>
        </w:tc>
      </w:tr>
    </w:tbl>
    <w:p>
      <w:pPr>
        <w:spacing w:after="40"/>
      </w:pPr>
    </w:p>
    <w:p>
      <w:pPr>
        <w:pStyle w:val="Heading2"/>
      </w:pPr>
      <w:r>
        <w:t>1. Zweck</w:t>
      </w:r>
    </w:p>
    <w:p>
      <w:r>
        <w:rPr>
          <w:rFonts w:ascii="Helvetica Neue" w:hAnsi="Helvetica Neue" w:eastAsia="Helvetica Neue"/>
          <w:color w:val="000000"/>
          <w:sz w:val="21"/>
        </w:rPr>
        <w:t>Dieses Dokument definiert verbindliche Ownership-, Dependency-Inversion- und Architecture-Governance-Regeln für alle World-Engine-Komponenten.</w:t>
      </w:r>
    </w:p>
    <w:p>
      <w:pPr>
        <w:pStyle w:val="Heading2"/>
      </w:pPr>
      <w:r>
        <w:t>2. Beziehungstypen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Typ</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Kann Static Dependency erzeugen?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Static dependency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Ja — nur auf Public Contract/Port.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Runtime call</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Nicht automatisch.</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Event relation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Kein direkter Producer -&gt; Subscriber Edge.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Data flow</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Nein; beschreibt Informationsbewegung.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Ownership</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Nein; beschreibt Verantwortung.</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Lifecycle wiring</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Host-only Wiring, kein Runtime Lookup.</w:t>
            </w:r>
          </w:p>
        </w:tc>
      </w:tr>
    </w:tbl>
    <w:p>
      <w:pPr>
        <w:spacing w:after="40"/>
      </w:pPr>
    </w:p>
    <w:p>
      <w:pPr>
        <w:pStyle w:val="Heading2"/>
      </w:pPr>
      <w:r>
        <w:t>3. Dependency Inversion</w:t>
      </w:r>
    </w:p>
    <w:p>
      <w:r>
        <w:t>Core/Application -&gt; Dialogue Use-Case Port &lt;- Dialogue implementationCore/Application -&gt; Game Output/Capability Port &lt;- Game AdapterDialogue -&gt; Speech Output Port &lt;- VoiceContext Manager -&gt; Memory Read / Context Source Port &lt;- MemorySave Manager -&gt; SaveParticipant abstractions &lt;- State owners</w:t>
      </w:r>
    </w:p>
    <w:p>
      <w:pPr>
        <w:pStyle w:val="Heading2"/>
      </w:pPr>
      <w:r>
        <w:t>4. Composition und Configuration</w:t>
      </w:r>
    </w:p>
    <w:p>
      <w:pPr>
        <w:ind w:left="360" w:hanging="216"/>
      </w:pPr>
      <w:r>
        <w:t>• Application Host / Composition Root ist der einzige Process-level Graph Builder.</w:t>
      </w:r>
    </w:p>
    <w:p>
      <w:pPr>
        <w:ind w:left="360" w:hanging="216"/>
      </w:pPr>
      <w:r>
        <w:t>• Das Configuration Subsystem erstellt Validated Effective Configuration; der Host verteilt Immutable Typed Views.</w:t>
      </w:r>
    </w:p>
    <w:p>
      <w:pPr>
        <w:ind w:left="360" w:hanging="216"/>
      </w:pPr>
      <w:r>
        <w:t>• Service Locator, Global Mutable Registry und Runtime Container Lookup sind verboten.</w:t>
      </w:r>
    </w:p>
    <w:p>
      <w:pPr>
        <w:pStyle w:val="Heading2"/>
      </w:pPr>
      <w:r>
        <w:t>5. Event-Regel</w:t>
      </w:r>
    </w:p>
    <w:p>
      <w:r>
        <w:rPr>
          <w:rFonts w:ascii="Helvetica Neue" w:hAnsi="Helvetica Neue" w:eastAsia="Helvetica Neue"/>
          <w:color w:val="000000"/>
          <w:sz w:val="21"/>
        </w:rPr>
        <w:t>Die Event Engine verarbeitet Semantic Facts und Decoupled Reactions. Commands/Queries mit sofortigem Ergebnis verwenden Narrow Use-Case Ports. Die Event Engine ist weder Generic RPC noch Transaction Owner.</w:t>
      </w:r>
    </w:p>
    <w:p>
      <w:pPr>
        <w:pStyle w:val="Heading2"/>
      </w:pPr>
      <w:r>
        <w:t>6. Scheduler-Regel</w:t>
      </w:r>
    </w:p>
    <w:p>
      <w:r>
        <w:t>Core -&gt; Scheduler control contractScheduler -&gt; Event Engine : scheduled semantic eventNO Scheduler -&gt; CoreNO Scheduler -&gt; Save Manager</w:t>
      </w:r>
    </w:p>
    <w:p>
      <w:r>
        <w:rPr>
          <w:rFonts w:ascii="Helvetica Neue" w:hAnsi="Helvetica Neue" w:eastAsia="Helvetica Neue"/>
          <w:color w:val="000000"/>
          <w:sz w:val="21"/>
        </w:rPr>
        <w:t>Autosave Policy und Retry gehören zur Save Architecture, nicht zum Scheduler.</w:t>
      </w:r>
    </w:p>
    <w:p>
      <w:pPr>
        <w:pStyle w:val="Heading2"/>
      </w:pPr>
      <w:r>
        <w:t>7. Persistence-Regel</w:t>
      </w:r>
    </w:p>
    <w:p>
      <w:pPr>
        <w:ind w:left="360" w:hanging="216"/>
      </w:pPr>
      <w:r>
        <w:t>• Dedicated Repository Port -&gt; Repository Implementation -&gt; SQLite.</w:t>
      </w:r>
    </w:p>
    <w:p>
      <w:pPr>
        <w:ind w:left="360" w:hanging="216"/>
      </w:pPr>
      <w:r>
        <w:t>• Core führt kein Generic CRUD aus und importiert keinen DB Driver.</w:t>
      </w:r>
    </w:p>
    <w:p>
      <w:pPr>
        <w:ind w:left="360" w:hanging="216"/>
      </w:pPr>
      <w:r>
        <w:t>• AI, Plugin Detection und Game Adapter haben keinen direkten Database Access.</w:t>
      </w:r>
    </w:p>
    <w:p>
      <w:pPr>
        <w:ind w:left="360" w:hanging="216"/>
      </w:pPr>
      <w:r>
        <w:t>• Save Persistence und Normal Domain Persistence bleiben getrennte Concerns.</w:t>
      </w:r>
    </w:p>
    <w:p>
      <w:pPr>
        <w:pStyle w:val="Heading2"/>
      </w:pPr>
      <w:r>
        <w:t>8. Save/Restore Ownership</w:t>
      </w:r>
    </w:p>
    <w:p>
      <w:r>
        <w:rPr>
          <w:rFonts w:ascii="Helvetica Neue" w:hAnsi="Helvetica Neue" w:eastAsia="Helvetica Neue"/>
          <w:color w:val="000000"/>
          <w:sz w:val="21"/>
        </w:rPr>
        <w:t>Der Save Manager besitzt Artifact Validation, Orchestration, Compatibility und Staging. State Owner wenden ihren eigenen Zustand an. Host/Activation Gate koordiniert Atomic Logical Activation. Core bleibt auf High-Level Load und Typed Outcome beschränkt.</w:t>
      </w:r>
    </w:p>
    <w:p>
      <w:pPr>
        <w:pStyle w:val="Heading2"/>
      </w:pPr>
      <w:r>
        <w:t>9. AI-Authority-Regel</w:t>
      </w:r>
    </w:p>
    <w:p>
      <w:pPr>
        <w:ind w:left="360" w:hanging="216"/>
      </w:pPr>
      <w:r>
        <w:t>• Approved Consumer -&gt; AI Adapter -&gt; Context Manager -&gt; Provider Abstraction.</w:t>
      </w:r>
    </w:p>
    <w:p>
      <w:pPr>
        <w:ind w:left="360" w:hanging="216"/>
      </w:pPr>
      <w:r>
        <w:t>• AI Output benötigt Deterministic Validation und ist nicht autoritativ.</w:t>
      </w:r>
    </w:p>
    <w:p>
      <w:pPr>
        <w:ind w:left="360" w:hanging="216"/>
      </w:pPr>
      <w:r>
        <w:t>• Core AI Readiness Evidence fehlt standardmäßig und wird nur für einen dokumentierten Core-owned Workflow aktiviert.</w:t>
      </w:r>
    </w:p>
    <w:p>
      <w:pPr>
        <w:pStyle w:val="Heading2"/>
      </w:pPr>
      <w:r>
        <w:t>10. Readiness Scopes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Scope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Owner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Component Lifecycle/Readiness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Jeweilige Komponente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Core Coordination Readiness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Core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Application Outcome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Application Host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Provider/Adapter Health</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AI/Game Integration Owner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Restore Activation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Manager + State Owner + Host Gate</w:t>
            </w:r>
          </w:p>
        </w:tc>
      </w:tr>
    </w:tbl>
    <w:p>
      <w:pPr>
        <w:spacing w:after="40"/>
      </w:pPr>
    </w:p>
    <w:p>
      <w:pPr>
        <w:pStyle w:val="Heading2"/>
      </w:pPr>
      <w:r>
        <w:t>11. Forbidden Edges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ID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Verbotene Beziehung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FORBID-001</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Scheduler -&gt; Core / Save Manager</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FORBID-002</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Domain/Integration -&gt; SQLite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FORBID-003</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Core -&gt; Concrete Game Adapter/AI Provider/Domain Internals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FORBID-004</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Event Engine as Generic RPC</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FORBID-005</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Runtime Service Locator/Global Config</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FORBID-006</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Core -&gt; SaveParticipant Stage/Commit/Rollback</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FORBID-007</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Context Manager -&gt; Repository/SQLite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FORBID-008</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AI -&gt; Game/Save/DB Authority</w:t>
            </w:r>
          </w:p>
        </w:tc>
      </w:tr>
    </w:tbl>
    <w:p>
      <w:pPr>
        <w:spacing w:after="40"/>
      </w:pPr>
    </w:p>
    <w:p>
      <w:pPr>
        <w:pStyle w:val="Heading2"/>
      </w:pPr>
      <w:r>
        <w:t>12. Governance</w:t>
      </w:r>
    </w:p>
    <w:p>
      <w:pPr>
        <w:ind w:left="360" w:hanging="216"/>
      </w:pPr>
      <w:r>
        <w:t>• Ein neuer Implementation Edge erfordert ARCH-005-Update und Mechanical Cycle Check.</w:t>
      </w:r>
    </w:p>
    <w:p>
      <w:pPr>
        <w:ind w:left="360" w:hanging="216"/>
      </w:pPr>
      <w:r>
        <w:t>• Boundary/Ownership Change erfordert ADR und Traceability Update.</w:t>
      </w:r>
    </w:p>
    <w:p>
      <w:pPr>
        <w:ind w:left="360" w:hanging="216"/>
      </w:pPr>
      <w:r>
        <w:t>• Diagramme kennzeichnen Arrow Semantics explizit.</w:t>
      </w:r>
    </w:p>
    <w:p>
      <w:pPr>
        <w:pStyle w:val="Heading2"/>
      </w:pPr>
      <w:r>
        <w:t>13. Prüfungen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Gate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Anforderung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PR-ARCH</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Forbidden Import/Edge Scan PASS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PR-CYCLE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Directed Graph acyclic</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PR-PARITY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RU/DE Semantic Identifiers equal</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PR-RENDER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Jede Seite geprüft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PR-TRACE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ADR/ARCH/MOD Traceability current</w:t>
            </w:r>
          </w:p>
        </w:tc>
      </w:tr>
    </w:tbl>
    <w:p>
      <w:pPr>
        <w:spacing w:after="40"/>
      </w:pPr>
    </w:p>
    <w:p>
      <w:pPr>
        <w:pStyle w:val="Heading2"/>
      </w:pPr>
      <w:r>
        <w:t>14. Änderungsverlauf</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Version</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Datum</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Änderungen</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v1.4</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2026-09-02</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Vollständige Regeneration nach AUDIT-008–010; Downstream-Prüfungen AUDIT-014/015/018/021 berücksichtigt.</w:t>
            </w:r>
          </w:p>
        </w:tc>
      </w:tr>
    </w:tbl>
    <w:p>
      <w:pPr>
        <w:spacing w:after="40"/>
      </w:pPr>
    </w:p>
    <w:p>
      <w:pPr>
        <w:pStyle w:val="Heading1"/>
      </w:pPr>
      <w:r>
        <w:t>Vollständige Detailspezifikation und Nachvollziehbarkeit</w:t>
      </w:r>
    </w:p>
    <w:p>
      <w:pPr>
        <w:pStyle w:val="Heading2"/>
      </w:pPr>
      <w:r>
        <w:t>Detailliertes Ausgangsmaterial: ARCH-004_World_Engine_Architecture_Principles_and_Dependency_Rules_DE_v1.docx</w:t>
      </w:r>
    </w:p>
    <w:p>
      <w:r>
        <w:rPr>
          <w:rFonts w:ascii="Helvetica Neue" w:hAnsi="Helvetica Neue" w:eastAsia="Helvetica Neue"/>
          <w:b w:val="0"/>
          <w:color w:val="667085"/>
          <w:sz w:val="17"/>
        </w:rPr>
        <w:t>docs/99_Archive/01_Architecture/ARCH-004_Architecture_Principles_and_Dependency_Rules/ARCH-004_World_Engine_Architecture_Principles_and_Dependency_Rules_DE_v1.docx</w:t>
      </w:r>
    </w:p>
    <w:p>
      <w:pPr>
        <w:pStyle w:val="Heading2"/>
      </w:pPr>
      <w:r>
        <w:t>Architekturprinzipien und Abhängigkeitsregeln</w:t>
      </w:r>
    </w:p>
    <w:p>
      <w:r>
        <w:rPr>
          <w:rFonts w:ascii="Helvetica Neue" w:hAnsi="Helvetica Neue" w:eastAsia="Helvetica Neue"/>
          <w:b w:val="0"/>
          <w:i/>
          <w:color w:val="000000"/>
          <w:sz w:val="21"/>
        </w:rPr>
        <w:t>Architecture Principles &amp; Dependency Rules / Projektdokument</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Projekt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World Engine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Dokument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Architecture Principles &amp; Dependency Rules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Document ID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ARCH-001</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v0.1</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Status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Draft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Datum</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2026-08-03</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Autor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Andrii Drahulskyi</w:t>
            </w:r>
          </w:p>
        </w:tc>
      </w:tr>
    </w:tbl>
    <w:p>
      <w:pPr>
        <w:spacing w:after="40"/>
      </w:pPr>
    </w:p>
    <w:p>
      <w:r>
        <w:rPr>
          <w:rFonts w:ascii="Helvetica Neue" w:hAnsi="Helvetica Neue" w:eastAsia="Helvetica Neue"/>
          <w:color w:val="000000"/>
          <w:sz w:val="21"/>
        </w:rPr>
        <w:t>Dieses Dokument definiert die Architekturprinzipien, Abhängigkeitsregeln und Zuständigkeitsgrenzen des Projekts World Engine.</w:t>
      </w:r>
    </w:p>
    <w:p>
      <w:r>
        <w:rPr>
          <w:rFonts w:ascii="Helvetica Neue" w:hAnsi="Helvetica Neue" w:eastAsia="Helvetica Neue"/>
          <w:color w:val="000000"/>
          <w:sz w:val="21"/>
        </w:rPr>
        <w:t>Es dient als verbindliche Grundlage für Module, APIs, die Ereignisverarbeitung und zukünftige Architekturentscheidungen.</w:t>
      </w:r>
    </w:p>
    <w:p>
      <w:r>
        <w:rPr>
          <w:rFonts w:ascii="Helvetica Neue" w:hAnsi="Helvetica Neue" w:eastAsia="Helvetica Neue"/>
          <w:color w:val="000000"/>
          <w:sz w:val="21"/>
        </w:rPr>
        <w:t>Alle neuen Komponenten und Änderungen müssen mit den hier beschriebenen Prinzipien übereinstimmen.</w:t>
      </w:r>
    </w:p>
    <w:p>
      <w:pPr>
        <w:pStyle w:val="Heading2"/>
      </w:pPr>
      <w:r>
        <w:t>2. Geltungsbereich</w:t>
      </w:r>
    </w:p>
    <w:p>
      <w:r>
        <w:rPr>
          <w:rFonts w:ascii="Helvetica Neue" w:hAnsi="Helvetica Neue" w:eastAsia="Helvetica Neue"/>
          <w:color w:val="000000"/>
          <w:sz w:val="21"/>
        </w:rPr>
        <w:t>Das Dokument gilt für alle aktuellen und zukünftigen Module, Unterdokumente und Architekturentscheidungen von World Engine.</w:t>
      </w:r>
    </w:p>
    <w:p>
      <w:r>
        <w:rPr>
          <w:rFonts w:ascii="Helvetica Neue" w:hAnsi="Helvetica Neue" w:eastAsia="Helvetica Neue"/>
          <w:color w:val="000000"/>
          <w:sz w:val="21"/>
        </w:rPr>
        <w:t>Es legt die zulässigen Abhängigkeiten, die Zusammenarbeit zwischen Schichten und die Dokumentation von Entscheidungen fest.</w:t>
      </w:r>
    </w:p>
    <w:p>
      <w:r>
        <w:rPr>
          <w:rFonts w:ascii="Helvetica Neue" w:hAnsi="Helvetica Neue" w:eastAsia="Helvetica Neue"/>
          <w:color w:val="000000"/>
          <w:sz w:val="21"/>
        </w:rPr>
        <w:t>Niedrigstufige Implementierung, Code und technische Detailfragen einzelner Funktionen werden hier nicht beschrieben.</w:t>
      </w:r>
    </w:p>
    <w:p>
      <w:pPr>
        <w:pStyle w:val="Heading2"/>
      </w:pPr>
      <w:r>
        <w:t>3. Architectural Goals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Goal</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Meaning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Low Coupling</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Module sollen nur wenige direkte Abhängigkeiten besitzen.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High Cohesion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Jedes Modul soll genau eine klar definierte Aufgabe erfüllen.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Replaceable Components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Komponenten sollen austauschbar sein, ohne das gesamte System neu zu schreiben.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Deterministic Core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Der Kern des Systems soll vorhersehbar und kontrollierbar bleiben.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AI Independence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Die Weltlogik darf nicht vollständig von einer LLM abhängen.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Scalability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Die Architektur muss später erweiterbar bleiben.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Testability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Jede Komponente soll separat testbar sein.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Documentation First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Neue Entscheidungen werden vor der Implementierung dokumentiert.</w:t>
            </w:r>
          </w:p>
        </w:tc>
      </w:tr>
    </w:tbl>
    <w:p>
      <w:pPr>
        <w:spacing w:after="40"/>
      </w:pPr>
    </w:p>
    <w:p>
      <w:pPr>
        <w:pStyle w:val="Heading2"/>
      </w:pPr>
      <w:r>
        <w:t>4. Non-goals</w:t>
      </w:r>
    </w:p>
    <w:p>
      <w:pPr>
        <w:ind w:left="360" w:hanging="216"/>
      </w:pPr>
      <w:r>
        <w:t>• Dieses Dokument beschreibt keine konkrete Implementierung von Modulen.</w:t>
      </w:r>
    </w:p>
    <w:p>
      <w:pPr>
        <w:ind w:left="360" w:hanging="216"/>
      </w:pPr>
      <w:r>
        <w:t>• Es ersetzt keine einzelnen Modulspezifikationen.</w:t>
      </w:r>
    </w:p>
    <w:p>
      <w:pPr>
        <w:ind w:left="360" w:hanging="216"/>
      </w:pPr>
      <w:r>
        <w:t>• Es enthält keine Anweisungen zum Starten des Projekts.</w:t>
      </w:r>
    </w:p>
    <w:p>
      <w:pPr>
        <w:ind w:left="360" w:hanging="216"/>
      </w:pPr>
      <w:r>
        <w:t>• Es beschreibt keine Benutzerabläufe oder Spielanleitungen.</w:t>
      </w:r>
    </w:p>
    <w:p>
      <w:pPr>
        <w:pStyle w:val="Heading2"/>
      </w:pPr>
      <w:r>
        <w:t>5. Layer Responsibilities</w:t>
      </w:r>
    </w:p>
    <w:p>
      <w:r>
        <w:rPr>
          <w:rFonts w:ascii="Helvetica Neue" w:hAnsi="Helvetica Neue" w:eastAsia="Helvetica Neue"/>
          <w:color w:val="000000"/>
          <w:sz w:val="21"/>
        </w:rPr>
        <w:t>World Engine ist als mehrschichtiges System aufgebaut. Jede Schicht besitzt ihren eigenen Verantwortungsbereich und darf die Aufgaben einer anderen Schicht nicht duplizieren.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Layer</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Responsibility</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Examples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Integration Layer</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Verbindung zu Skyrim und späteren Spielen über einen Adapter.</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Game Adapter</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Coordination Layer</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Ereignisrouting, Modulkoordination und Lebenszyklus.</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Core, Event Engine, Scheduler</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Simulation Layer</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Weltzustand, NPCs, Beziehungen, Organisationen, Wirtschaft und Quests.</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Memory, Character, Relationship, Organization, Economy, Politics, Quest</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AI Layer</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Antworten, Dialoge und komplexe Schlussfolgerungen auf Basis von Kontext.</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Dialogue Engine, Voice Engine</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Persistence Layer</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Speichern und Wiederherstellen des Weltzustands.</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Save Manager, Database</w:t>
            </w:r>
          </w:p>
        </w:tc>
      </w:tr>
    </w:tbl>
    <w:p>
      <w:pPr>
        <w:spacing w:after="40"/>
      </w:pPr>
    </w:p>
    <w:p>
      <w:pPr>
        <w:pStyle w:val="Heading2"/>
      </w:pPr>
      <w:r>
        <w:t>6. Core Architectural Principles</w:t>
      </w:r>
    </w:p>
    <w:p>
      <w:pPr>
        <w:ind w:left="360" w:hanging="216"/>
      </w:pPr>
      <w:r>
        <w:t>• Der Kern von World Engine darf nicht von einem bestimmten Spiel abhängen.</w:t>
      </w:r>
    </w:p>
    <w:p>
      <w:pPr>
        <w:ind w:left="360" w:hanging="216"/>
      </w:pPr>
      <w:r>
        <w:t>• Alle spielbezogenen Interaktionen laufen über den Adapter und nicht direkt über interne Module.</w:t>
      </w:r>
    </w:p>
    <w:p>
      <w:pPr>
        <w:ind w:left="360" w:hanging="216"/>
      </w:pPr>
      <w:r>
        <w:t>• Ein Modul ist immer nur für einen klar abgegrenzten Bereich verantwortlich.</w:t>
      </w:r>
    </w:p>
    <w:p>
      <w:pPr>
        <w:ind w:left="360" w:hanging="216"/>
      </w:pPr>
      <w:r>
        <w:t>• Die Schichten des Systems dürfen nur über erlaubte Abhängigkeiten verbunden sein.</w:t>
      </w:r>
    </w:p>
    <w:p>
      <w:pPr>
        <w:ind w:left="360" w:hanging="216"/>
      </w:pPr>
      <w:r>
        <w:t>• Wenn eine Funktion ohne LLM umsetzbar ist, sollten Regeln, Simulation oder deterministische Logik bevorzugt werden.</w:t>
      </w:r>
    </w:p>
    <w:p>
      <w:pPr>
        <w:ind w:left="360" w:hanging="216"/>
      </w:pPr>
      <w:r>
        <w:t>• Weltbezogene Daten werden außerhalb des Spiels gespeichert und dürfen nicht nur an eine einzelne Sitzung gebunden sein.</w:t>
      </w:r>
    </w:p>
    <w:p>
      <w:pPr>
        <w:ind w:left="360" w:hanging="216"/>
      </w:pPr>
      <w:r>
        <w:t>• Jede größere Entscheidung muss in der Dokumentation oder in einem ADR festgehalten werden.</w:t>
      </w:r>
    </w:p>
    <w:p>
      <w:pPr>
        <w:pStyle w:val="Heading2"/>
      </w:pPr>
      <w:r>
        <w:t>7. Dependency Rules</w:t>
      </w:r>
    </w:p>
    <w:p>
      <w:pPr>
        <w:ind w:left="360" w:hanging="216"/>
      </w:pPr>
      <w:r>
        <w:t>• Abhängigkeiten müssen immer nach unten durch die Architektur zeigen.</w:t>
      </w:r>
    </w:p>
    <w:p>
      <w:pPr>
        <w:ind w:left="360" w:hanging="216"/>
      </w:pPr>
      <w:r>
        <w:t>• Zyklische Abhängigkeiten sind verboten.</w:t>
      </w:r>
    </w:p>
    <w:p>
      <w:pPr>
        <w:ind w:left="360" w:hanging="216"/>
      </w:pPr>
      <w:r>
        <w:t>• Module dürfen nicht direkt auf den internen Zustand anderer Module zugreifen.</w:t>
      </w:r>
    </w:p>
    <w:p>
      <w:pPr>
        <w:ind w:left="360" w:hanging="216"/>
      </w:pPr>
      <w:r>
        <w:t>• Module sollen über öffentliche Schnittstellen, Ereignisse oder definierte Verträge kommunizieren.</w:t>
      </w:r>
    </w:p>
    <w:p>
      <w:pPr>
        <w:ind w:left="360" w:hanging="216"/>
      </w:pPr>
      <w:r>
        <w:t>• Die Simulation Layer darf nicht direkt mit der Spiellogik sprechen.</w:t>
      </w:r>
    </w:p>
    <w:p>
      <w:pPr>
        <w:ind w:left="360" w:hanging="216"/>
      </w:pPr>
      <w:r>
        <w:t>• Die AI Layer darf den Weltzustand nicht direkt verändern und nicht ohne freigegebenen Mechanismus in den Speicher schreiben.</w:t>
      </w:r>
    </w:p>
    <w:p>
      <w:pPr>
        <w:ind w:left="360" w:hanging="216"/>
      </w:pPr>
      <w:r>
        <w:t>• Die Persistence Layer darf keine Spiellogik enthalten.</w:t>
      </w:r>
    </w:p>
    <w:p>
      <w:pPr>
        <w:ind w:left="360" w:hanging="216"/>
      </w:pPr>
      <w:r>
        <w:t>• Der Event Engine routet Ereignisse, speichert aber keine Domänendaten.</w:t>
      </w:r>
    </w:p>
    <w:p>
      <w:pPr>
        <w:pStyle w:val="Heading2"/>
      </w:pPr>
      <w:r>
        <w:t>8. Allowed Dependencies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Source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May Depend On</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Notes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Integration Layer</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Approved coordination interfaces</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Austausch mit dem Spiel nur über den Adapter.</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Coordination Layer</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Approved simulation contracts and event interfaces</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Koordination enthält keine Fachlogik.</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Simulation Layer</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Approved simulation modules and world-state services</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Nur freigegebene fachliche Abhängigkeiten.</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AI Layer</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Simulation context and approved prompt/context services</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Arbeitet auf Kontext, nicht als Quelle der Wahrheit.</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Persistence Layer</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Approved state snapshots and storage backend</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Speichern und Wiederherstellen des Zustands.</w:t>
            </w:r>
          </w:p>
        </w:tc>
      </w:tr>
    </w:tbl>
    <w:p>
      <w:pPr>
        <w:spacing w:after="40"/>
      </w:pPr>
    </w:p>
    <w:p>
      <w:pPr>
        <w:pStyle w:val="Heading2"/>
      </w:pPr>
      <w:r>
        <w:t>9. Forbidden Dependencies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Forbidden Pattern</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Reason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Simulation -&gt; Game API directly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Verletzt die Isolierung und erschwert die Portabilität.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AI -&gt; Database directly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Verletzt die Trennung der Verantwortlichkeiten und die Kontrolle des Zustands.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Module -&gt; internal state of another module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Erzeugt versteckte Kopplung und macht das System fragil.</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Circular dependencies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Erschweren Wartung, Testbarkeit und Erweiterung.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Bypass of event/contract boundaries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Umgeht Architekturregeln und erzeugt implizite Abhängigkeiten.</w:t>
            </w:r>
          </w:p>
        </w:tc>
      </w:tr>
    </w:tbl>
    <w:p>
      <w:pPr>
        <w:spacing w:after="40"/>
      </w:pPr>
    </w:p>
    <w:p>
      <w:pPr>
        <w:pStyle w:val="Heading2"/>
      </w:pPr>
      <w:r>
        <w:t>10. Module Independence</w:t>
      </w:r>
    </w:p>
    <w:p>
      <w:pPr>
        <w:ind w:left="360" w:hanging="216"/>
      </w:pPr>
      <w:r>
        <w:t>• Jedes Modul muss separat testbar sein.</w:t>
      </w:r>
    </w:p>
    <w:p>
      <w:pPr>
        <w:ind w:left="360" w:hanging="216"/>
      </w:pPr>
      <w:r>
        <w:t>• Jedes Modul muss einen klaren Eingangs- und Ausgangsvertrag besitzen.</w:t>
      </w:r>
    </w:p>
    <w:p>
      <w:pPr>
        <w:ind w:left="360" w:hanging="216"/>
      </w:pPr>
      <w:r>
        <w:t>• Jedes Modul muss über eine eigene Dokumentation und Fertigstellungskriterien verfügen.</w:t>
      </w:r>
    </w:p>
    <w:p>
      <w:pPr>
        <w:ind w:left="360" w:hanging="216"/>
      </w:pPr>
      <w:r>
        <w:t>• Der Austausch eines Moduls darf nicht das Umschreiben der gesamten Architektur erfordern.</w:t>
      </w:r>
    </w:p>
    <w:p>
      <w:pPr>
        <w:pStyle w:val="Heading2"/>
      </w:pPr>
      <w:r>
        <w:t>11. Documentation &amp; ADR Rules</w:t>
      </w:r>
    </w:p>
    <w:p>
      <w:pPr>
        <w:ind w:left="360" w:hanging="216"/>
      </w:pPr>
      <w:r>
        <w:t>• Jede bedeutende Architekturentscheidung muss in einem separaten ADR dokumentiert werden.</w:t>
      </w:r>
    </w:p>
    <w:p>
      <w:pPr>
        <w:ind w:left="360" w:hanging="216"/>
      </w:pPr>
      <w:r>
        <w:t>• Wenn eine neue Entscheidung Abhängigkeiten beeinflusst, müssen Dokumentation und Diagramme gleichzeitig aktualisiert werden.</w:t>
      </w:r>
    </w:p>
    <w:p>
      <w:pPr>
        <w:ind w:left="360" w:hanging="216"/>
      </w:pPr>
      <w:r>
        <w:t>• Architekturänderungen dürfen nicht ohne Beschreibung des Ziels, der Folgen und der Risiken eingeführt werden.</w:t>
      </w:r>
    </w:p>
    <w:p>
      <w:pPr>
        <w:ind w:left="360" w:hanging="216"/>
      </w:pPr>
      <w:r>
        <w:t>• Wenn sich eine Entscheidung nicht dokumentieren lässt, gilt sie nicht als freigegeben.</w:t>
      </w:r>
    </w:p>
    <w:p>
      <w:pPr>
        <w:pStyle w:val="Heading2"/>
      </w:pPr>
      <w:r>
        <w:t>12. Risks and Mitigation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Risk</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Impact</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Mitigation</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Zu viele direkte Abhängigkeiten</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Schwierige Wartung</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Schichtregeln und Verträge strikt einhalten</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Verlust der Isolierung des Game Adapters</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Portabilitätsprobleme</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Strikte Boundary-Schicht</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Zu starke Abhängigkeit von LLM</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Instabilität und Kosten</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LLM nur für komplexe Entscheidungen verwenden</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Intransparente Architekturentscheidungen</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Schwer verständlich und wartbar</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ADR und Dokumentation vor Implementierung</w:t>
            </w:r>
          </w:p>
        </w:tc>
      </w:tr>
    </w:tbl>
    <w:p>
      <w:pPr>
        <w:spacing w:after="40"/>
      </w:pPr>
    </w:p>
    <w:p>
      <w:pPr>
        <w:pStyle w:val="Heading2"/>
      </w:pPr>
      <w:r>
        <w:t>13. Next Steps</w:t>
      </w:r>
    </w:p>
    <w:p>
      <w:pPr>
        <w:ind w:left="360" w:hanging="216"/>
      </w:pPr>
      <w:r>
        <w:t>• Dieses Dokument als verbindlichen Architekturstandard freigeben.</w:t>
      </w:r>
    </w:p>
    <w:p>
      <w:pPr>
        <w:ind w:left="360" w:hanging="216"/>
      </w:pPr>
      <w:r>
        <w:t>• Es bei der Erstellung von CD-003 Module Dependencies anwenden.</w:t>
      </w:r>
    </w:p>
    <w:p>
      <w:pPr>
        <w:ind w:left="360" w:hanging="216"/>
      </w:pPr>
      <w:r>
        <w:t>• Es als Leitlinie beim Design neuer Module verwenden.</w:t>
      </w:r>
    </w:p>
    <w:p>
      <w:pPr>
        <w:ind w:left="360" w:hanging="216"/>
      </w:pPr>
      <w:r>
        <w:t>• ADR für Schlüsselentscheidungen einführen und pflegen.</w:t>
      </w:r>
    </w:p>
    <w:p>
      <w:pPr>
        <w:pStyle w:val="Heading2"/>
      </w:pPr>
      <w:r>
        <w:t>14. Related Documents</w:t>
      </w:r>
    </w:p>
    <w:p>
      <w:pPr>
        <w:ind w:left="360" w:hanging="216"/>
      </w:pPr>
      <w:r>
        <w:t>• Vision</w:t>
      </w:r>
    </w:p>
    <w:p>
      <w:pPr>
        <w:ind w:left="360" w:hanging="216"/>
      </w:pPr>
      <w:r>
        <w:t>• Project Principles</w:t>
      </w:r>
    </w:p>
    <w:p>
      <w:pPr>
        <w:ind w:left="360" w:hanging="216"/>
      </w:pPr>
      <w:r>
        <w:t>• Roadmap</w:t>
      </w:r>
    </w:p>
    <w:p>
      <w:pPr>
        <w:ind w:left="360" w:hanging="216"/>
      </w:pPr>
      <w:r>
        <w:t>• System Architecture</w:t>
      </w:r>
    </w:p>
    <w:p>
      <w:pPr>
        <w:ind w:left="360" w:hanging="216"/>
      </w:pPr>
      <w:r>
        <w:t>• Module Architecture</w:t>
      </w:r>
    </w:p>
    <w:p>
      <w:pPr>
        <w:ind w:left="360" w:hanging="216"/>
      </w:pPr>
      <w:r>
        <w:t>• Data Flow</w:t>
      </w:r>
    </w:p>
    <w:p>
      <w:pPr>
        <w:ind w:left="360" w:hanging="216"/>
      </w:pPr>
      <w:r>
        <w:t>• Architecture / Architecture Document Template</w:t>
      </w:r>
    </w:p>
    <w:p>
      <w:pPr>
        <w:pStyle w:val="Heading2"/>
      </w:pPr>
      <w:r>
        <w:t>15. Change Log</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Version</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Date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Changes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v0.1</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2026-08-03</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Erste professionelle Version der Architekturprinzipien und Abhängigkeitsregeln erstellt.</w:t>
            </w:r>
          </w:p>
        </w:tc>
      </w:tr>
    </w:tbl>
    <w:p>
      <w:pPr>
        <w:spacing w:after="40"/>
      </w:pPr>
    </w:p>
    <w:p>
      <w:pPr>
        <w:pStyle w:val="Heading1"/>
      </w:pPr>
      <w:r>
        <w:t>Verzeichnis der verwendeten Quellen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Pfad</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Rolle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SHA-256</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docs/01_Architecture/ARCH-004_Architecture_Principles_and_Dependency_Rules/ARCH-004_World_Engine_Architecture_Principles_and_Dependency_Rules_DE_v1_4_Architecture_Audited_Complete.docx</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Normative Quelle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02d09c8af8bde7d3</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docs/99_Archive/01_Architecture/ARCH-004_Architecture_Principles_and_Dependency_Rules/ARCH-004_World_Engine_Architecture_Principles_and_Dependency_Rules_DE_v1.docx</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Detailliertes Ausgangsmaterial</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1044a204083234f9</w:t>
            </w:r>
          </w:p>
        </w:tc>
      </w:tr>
    </w:tbl>
    <w:p>
      <w:pPr>
        <w:spacing w:after="40"/>
      </w:pPr>
    </w:p>
    <w:sectPr>
      <w:headerReference w:type="default" r:id="rId9"/>
      <w:footerReference w:type="default" r:id="rId10"/>
      <w:pgSz w:w="12240" w:h="15840"/>
      <w:pgMar w:top="1224" w:right="1224" w:bottom="1152" w:left="1224" w:header="504" w:footer="50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90939A4" w14:textId="77777777">
      <w:r>
        <w:separator/>
      </w:r>
    </w:p>
  </w:endnote>
  <w:endnote w:type="continuationSeparator" w:id="0">
    <w:p w14:paraId="56A038B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DD3E6FD9-D3EA-0B48-A55F-C080D5A51BF2}"/>
    <w:embedBold r:id="rId2" w:fontKey="{DDFB625A-45BE-CE44-B15E-DF5BB7815FF7}"/>
    <w:embedItalic r:id="rId3" w:fontKey="{6119CEB5-DE25-6D4D-B2F9-50E47E40CFE1}"/>
  </w:font>
  <w:font w:name="Helvetica Neue">
    <w:panose1 w:val="02000503000000020004"/>
    <w:charset w:val="00"/>
    <w:family w:val="auto"/>
    <w:pitch w:val="variable"/>
    <w:sig w:usb0="E50002FF" w:usb1="500079DB" w:usb2="00000010" w:usb3="00000000" w:csb0="00000001" w:csb1="00000000"/>
  </w:font>
  <w:font w:name="Times New Roman">
    <w:panose1 w:val="02020603050405020304"/>
    <w:charset w:val="00"/>
    <w:family w:val="roman"/>
    <w:pitch w:val="variable"/>
    <w:sig w:usb0="E0002EFF" w:usb1="C000785B" w:usb2="00000009" w:usb3="00000000" w:csb0="000001FF" w:csb1="00000000"/>
    <w:embedRegular r:id="rId7" w:fontKey="{F3731299-A1D5-B542-9E67-1B0FA6F28CD4}"/>
  </w:font>
  <w:font w:name="Georgia">
    <w:panose1 w:val="02040502050405020303"/>
    <w:charset w:val="00"/>
    <w:family w:val="roman"/>
    <w:pitch w:val="variable"/>
    <w:sig w:usb0="00000287" w:usb1="00000000" w:usb2="00000000" w:usb3="00000000" w:csb0="0000009F" w:csb1="00000000"/>
    <w:embedItalic r:id="rId8" w:fontKey="{682841DE-6A2C-764D-8B8B-541E954AD362}"/>
  </w:font>
  <w:font w:name="Calibri">
    <w:panose1 w:val="020F0502020204030204"/>
    <w:charset w:val="00"/>
    <w:family w:val="modern"/>
    <w:pitch w:val="variable"/>
    <w:sig w:usb0="00000003" w:usb1="00000000" w:usb2="00000000" w:usb3="00000000" w:csb0="00000001" w:csb1="00000000"/>
    <w:embedRegular r:id="rId9" w:fontKey="{D4D164A4-8B83-F44E-A13B-A0908815976C}"/>
  </w:font>
  <w:font w:name="Cambria">
    <w:panose1 w:val="02040503050406030204"/>
    <w:charset w:val="00"/>
    <w:family w:val="roman"/>
    <w:notTrueType/>
    <w:pitch w:val="default"/>
    <w:embedRegular r:id="rId10" w:fontKey="{129DD48A-EFF5-1A47-8CFE-E7D5F089F46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type="auto" w:w="0"/>
      <w:tblLayout w:type="fixed"/>
      <w:tblLook w:firstColumn="1" w:firstRow="1" w:lastColumn="0" w:lastRow="0" w:noHBand="0" w:noVBand="1" w:val="04A0"/>
      <w:tblBorders>
        <w:top w:val="single" w:sz="0" w:color="FFFFFF"/>
        <w:left w:val="single" w:sz="0" w:color="FFFFFF"/>
        <w:bottom w:val="single" w:sz="0" w:color="FFFFFF"/>
        <w:right w:val="single" w:sz="0" w:color="FFFFFF"/>
        <w:insideH w:val="single" w:sz="0" w:color="FFFFFF"/>
        <w:insideV w:val="single" w:sz="0" w:color="FFFFFF"/>
      </w:tblBorders>
    </w:tblPr>
    <w:tblGrid>
      <w:gridCol w:w="7488"/>
      <w:gridCol w:w="2304"/>
    </w:tblGrid>
    <w:tr>
      <w:trPr>
        <w:tblHeader w:val="true"/>
      </w:trPr>
      <w:tc>
        <w:tcPr>
          <w:tcW w:type="dxa" w:w="4896"/>
          <w:tcMar>
            <w:top w:w="0" w:type="dxa"/>
            <w:start w:w="0" w:type="dxa"/>
            <w:bottom w:w="0" w:type="dxa"/>
            <w:end w:w="0" w:type="dxa"/>
          </w:tcMar>
        </w:tcPr>
        <w:p>
          <w:r>
            <w:rPr>
              <w:rFonts w:ascii="Helvetica Neue" w:hAnsi="Helvetica Neue" w:eastAsia="Helvetica Neue"/>
              <w:b w:val="0"/>
              <w:color w:val="667085"/>
              <w:sz w:val="15"/>
            </w:rPr>
            <w:t>Architektur-auditiert — vollständige konsolidierte Fassung</w:t>
          </w:r>
        </w:p>
      </w:tc>
      <w:tc>
        <w:tcPr>
          <w:tcW w:type="dxa" w:w="4896"/>
          <w:tcMar>
            <w:top w:w="0" w:type="dxa"/>
            <w:start w:w="0" w:type="dxa"/>
            <w:bottom w:w="0" w:type="dxa"/>
            <w:end w:w="0" w:type="dxa"/>
          </w:tcMar>
        </w:tcPr>
        <w:p>
          <w:pPr>
            <w:jc w:val="right"/>
          </w:pPr>
          <w:r>
            <w:rPr>
              <w:rFonts w:ascii="Helvetica Neue" w:hAnsi="Helvetica Neue" w:eastAsia="Helvetica Neue"/>
              <w:b w:val="0"/>
              <w:color w:val="667085"/>
              <w:sz w:val="15"/>
            </w:rPr>
            <w:t xml:space="preserve">PAGE </w:t>
          </w:r>
          <w:r>
            <w:fldChar w:fldCharType="begin"/>
            <w:instrText xml:space="preserve">PAGE</w:instrText>
            <w:fldChar w:fldCharType="separate"/>
            <w:t>1</w:t>
            <w:fldChar w:fldCharType="end"/>
          </w:r>
          <w:r>
            <w:rPr>
              <w:rFonts w:ascii="Helvetica Neue" w:hAnsi="Helvetica Neue" w:eastAsia="Helvetica Neue"/>
              <w:b w:val="0"/>
              <w:color w:val="667085"/>
              <w:sz w:val="15"/>
            </w:rPr>
            <w:t xml:space="preserve"> / </w:t>
          </w:r>
          <w:r>
            <w:fldChar w:fldCharType="begin"/>
            <w:instrText xml:space="preserve">NUMPAGES</w:instrText>
            <w:fldChar w:fldCharType="separate"/>
            <w:t>1</w:t>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394D08F" w14:textId="77777777">
      <w:r>
        <w:separator/>
      </w:r>
    </w:p>
  </w:footnote>
  <w:footnote w:type="continuationSeparator" w:id="0">
    <w:p w14:paraId="4AF4CD87"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pPr>
      <w:jc w:val="left"/>
      <w:pBdr>
        <w:bottom w:val="single" w:sz="8" w:space="4" w:color="17365D"/>
      </w:pBdr>
    </w:pPr>
    <w:r>
      <w:rPr>
        <w:rFonts w:ascii="Helvetica Neue" w:hAnsi="Helvetica Neue" w:eastAsia="Helvetica Neue"/>
        <w:b/>
        <w:color w:val="17365D"/>
        <w:sz w:val="17"/>
      </w:rPr>
      <w:t>WORLD ENGINE   /   ARCH-004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7D01B79"/>
    <w:multiLevelType w:val="multilevel"/>
    <w:tmpl w:val="66202F6A"/>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6A8E1372"/>
    <w:multiLevelType w:val="multilevel"/>
    <w:tmpl w:val="CAB63DA0"/>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760104273">
    <w:abstractNumId w:val="1"/>
  </w:num>
  <w:num w:numId="2" w16cid:durableId="56256202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2"/>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3480917"/>
  <w15:docId w15:val="{05643887-4187-7F4D-B23A-57FBA86AE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0" w:after="120" w:line="259" w:lineRule="auto"/>
    </w:pPr>
    <w:rPr>
      <w:rFonts w:ascii="Helvetica Neue" w:hAnsi="Helvetica Neue" w:eastAsia="Helvetica Neue"/>
      <w:b w:val="0"/>
      <w:color w:val="000000"/>
      <w:sz w:val="21"/>
    </w:rPr>
  </w:style>
  <w:style w:type="paragraph" w:styleId="Heading1">
    <w:name w:val="heading 1"/>
    <w:basedOn w:val="Normal"/>
    <w:next w:val="Normal"/>
    <w:uiPriority w:val="9"/>
    <w:qFormat/>
    <w:pPr>
      <w:keepNext/>
      <w:spacing w:before="320" w:after="140" w:line="259" w:lineRule="auto"/>
      <w:outlineLvl w:val="0"/>
    </w:pPr>
    <w:rPr>
      <w:rFonts w:ascii="Helvetica Neue" w:eastAsia="Helvetica Neue" w:hAnsi="Helvetica Neue" w:cs="Helvetica Neue"/>
      <w:b/>
      <w:bCs/>
      <w:color w:val="000000"/>
      <w:sz w:val="36"/>
      <w:szCs w:val="30"/>
    </w:rPr>
  </w:style>
  <w:style w:type="paragraph" w:styleId="Heading2">
    <w:name w:val="heading 2"/>
    <w:basedOn w:val="Normal"/>
    <w:next w:val="Normal"/>
    <w:uiPriority w:val="9"/>
    <w:unhideWhenUsed/>
    <w:qFormat/>
    <w:pPr>
      <w:keepNext/>
      <w:spacing w:before="240" w:after="100" w:line="259" w:lineRule="auto"/>
      <w:outlineLvl w:val="1"/>
    </w:pPr>
    <w:rPr>
      <w:rFonts w:ascii="Helvetica Neue" w:eastAsia="Helvetica Neue" w:hAnsi="Helvetica Neue" w:cs="Helvetica Neue"/>
      <w:b/>
      <w:bCs/>
      <w:color w:val="000000"/>
      <w:sz w:val="28"/>
    </w:rPr>
  </w:style>
  <w:style w:type="paragraph" w:styleId="Heading3">
    <w:name w:val="heading 3"/>
    <w:basedOn w:val="Normal"/>
    <w:next w:val="Normal"/>
    <w:uiPriority w:val="9"/>
    <w:unhideWhenUsed/>
    <w:qFormat/>
    <w:pPr>
      <w:keepNext/>
      <w:pBdr>
        <w:top w:val="nil"/>
        <w:left w:val="nil"/>
        <w:bottom w:val="nil"/>
        <w:right w:val="nil"/>
        <w:between w:val="nil"/>
      </w:pBdr>
      <w:spacing w:before="180" w:after="80" w:line="259" w:lineRule="auto"/>
      <w:outlineLvl w:val="2"/>
    </w:pPr>
    <w:rPr>
      <w:rFonts w:ascii="Helvetica Neue" w:hAnsi="Helvetica Neue" w:eastAsia="Helvetica Neue"/>
      <w:b/>
      <w:bCs/>
      <w:color w:val="000000"/>
      <w:sz w:val="23"/>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0" w:after="280" w:line="259" w:lineRule="auto"/>
      <w:jc w:val="center"/>
    </w:pPr>
    <w:rPr>
      <w:rFonts w:ascii="Helvetica Neue" w:eastAsia="Helvetica Neue" w:hAnsi="Helvetica Neue" w:cs="Helvetica Neue"/>
      <w:b/>
      <w:bCs/>
      <w:color w:val="000000"/>
      <w:sz w:val="56"/>
      <w:szCs w:val="72"/>
    </w:rPr>
  </w:style>
  <w:style w:type="paragraph" w:styleId="Subtitle">
    <w:name w:val="Subtitle"/>
    <w:basedOn w:val="Normal"/>
    <w:next w:val="Normal"/>
    <w:uiPriority w:val="11"/>
    <w:qFormat/>
    <w:pPr>
      <w:keepNext/>
      <w:keepLines/>
      <w:spacing w:before="0" w:after="160" w:line="259" w:lineRule="auto"/>
    </w:pPr>
    <w:rPr>
      <w:rFonts w:ascii="Helvetica Neue" w:eastAsia="Helvetica Neue" w:hAnsi="Helvetica Neue" w:cs="Georgia"/>
      <w:b w:val="0"/>
      <w:i/>
      <w:iCs/>
      <w:color w:val="000000"/>
      <w:sz w:val="22"/>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Pr>
  </w:style>
  <w:style w:type="paragraph" w:customStyle="1" w:styleId="Caption">
    <w:name w:val="caption"/>
    <w:pPr>
      <w:spacing w:before="80" w:after="160" w:line="259" w:lineRule="auto"/>
    </w:pPr>
    <w:rPr>
      <w:rFonts w:ascii="Helvetica Neue" w:hAnsi="Helvetica Neue" w:eastAsia="Helvetica Neue"/>
      <w:b w:val="0"/>
      <w:color w:val="000000"/>
      <w:sz w:val="18"/>
    </w:rPr>
  </w:style>
  <w:style w:type="paragraph" w:customStyle="1" w:styleId="CodeBlock">
    <w:name w:val="Code Block"/>
    <w:pPr>
      <w:spacing w:after="100"/>
      <w:ind w:left="288"/>
    </w:pPr>
    <w:rPr>
      <w:rFonts w:ascii="Consolas" w:hAnsi="Consolas" w:eastAsia="Consolas"/>
      <w:color w:val="000000"/>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1658</Words>
  <Characters>9454</Characters>
  <Application>Microsoft Office Word</Application>
  <DocSecurity>0</DocSecurity>
  <Lines>78</Lines>
  <Paragraphs>22</Paragraphs>
  <ScaleCrop>false</ScaleCrop>
  <Company/>
  <LinksUpToDate>false</LinksUpToDate>
  <CharactersWithSpaces>11090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ARCH-004 — Architekturprinzipien und Abhängigkeitsregeln</dc:title>
  <dc:subject>World Engine full content architecture-audited documentation</dc:subject>
  <dc:creator>World Engine project</dc:creator>
  <cp:keywords>World Engine, architecture, audited, complete</cp:keywords>
  <dc:description>Generated from the complete audited repository source set.</dc:description>
</cp:coreProperties>
</file>