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ADR-008</w:t>
      </w:r>
    </w:p>
    <w:p>
      <w:pPr>
        <w:pStyle w:val="Title"/>
        <w:spacing w:before="720"/>
        <w:jc w:val="center"/>
      </w:pPr>
      <w:r>
        <w:t>Abhängigkeitssemantik und Vertragseigentum</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ADR-008</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ADR-008_Dependency_Semantics_Contract_Ownership_DE_v1_0_Proposed_Audited.docx</w:t>
      </w:r>
    </w:p>
    <w:p>
      <w:r>
        <w:rPr>
          <w:rFonts w:ascii="Helvetica Neue" w:hAnsi="Helvetica Neue" w:eastAsia="Helvetica Neue"/>
          <w:b w:val="0"/>
          <w:color w:val="667085"/>
          <w:sz w:val="17"/>
        </w:rPr>
        <w:t>docs/02_Architecture_Decision_Records/ADR-008_Dependency_Semantics_Contract_Ownership/ADR-008_Dependency_Semantics_Contract_Ownership_DE_v1_0_Proposed_Audited.docx</w:t>
      </w:r>
    </w:p>
    <w:p>
      <w:pPr>
        <w:pStyle w:val="Heading2"/>
      </w:pPr>
      <w:r>
        <w:t>ARCHITECTURE DECISION RECORD</w:t>
      </w:r>
    </w:p>
    <w:p>
      <w:pPr>
        <w:pStyle w:val="Heading2"/>
      </w:pPr>
      <w:r>
        <w:t>ADR-008 — Dependency Semantics, Contract Ownership &amp; Composition Root</w:t>
      </w:r>
    </w:p>
    <w:p>
      <w:pPr>
        <w:pStyle w:val="Heading2"/>
      </w:pPr>
      <w:r>
        <w:t>Proposed Audited v1.0 · normative Entscheidung für World Engine Version 1.x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Proposed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Übergeordnete Entscheidung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audited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Ziel-Release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bl>
    <w:p>
      <w:pPr>
        <w:spacing w:after="40"/>
      </w:pPr>
    </w:p>
    <w:p>
      <w:pPr>
        <w:pStyle w:val="Heading2"/>
      </w:pPr>
      <w:r>
        <w:t>1. Status und Kontext</w:t>
      </w:r>
    </w:p>
    <w:p>
      <w:r>
        <w:rPr>
          <w:rFonts w:ascii="Helvetica Neue" w:hAnsi="Helvetica Neue" w:eastAsia="Helvetica Neue"/>
          <w:color w:val="000000"/>
          <w:sz w:val="21"/>
        </w:rPr>
        <w:t>Nach dem Architecture Audit vorgeschlagen. Nach Annahme bildet dieses ADR die gemeinsame Auslegungsbasis für ADR-001–007 und ARCH-001–012.</w:t>
      </w:r>
    </w:p>
    <w:p>
      <w:pPr>
        <w:pStyle w:val="Heading2"/>
      </w:pPr>
      <w:r>
        <w:t>Context</w:t>
      </w:r>
    </w:p>
    <w:p>
      <w:r>
        <w:rPr>
          <w:rFonts w:ascii="Helvetica Neue" w:hAnsi="Helvetica Neue" w:eastAsia="Helvetica Neue"/>
          <w:color w:val="000000"/>
          <w:sz w:val="21"/>
        </w:rPr>
        <w:t>Frühere Dokumente vermischten statische Abhängigkeiten, Runtime Calls, Events, Data Flow, Ownership und Lifecycle Wiring. Gleichartige Pfeile erlaubten gegensätzliche Lesarten und verbargen Zyklen wie Core↔Scheduler, Core↔Game Adapter sowie breite Core-Abhängigkeiten von Repository/AI.</w:t>
      </w:r>
    </w:p>
    <w:p>
      <w:pPr>
        <w:pStyle w:val="Heading2"/>
      </w:pPr>
      <w:r>
        <w:t>Decision</w:t>
      </w:r>
    </w:p>
    <w:p>
      <w:r>
        <w:rPr>
          <w:rFonts w:ascii="Helvetica Neue" w:hAnsi="Helvetica Neue" w:eastAsia="Helvetica Neue"/>
          <w:color w:val="000000"/>
          <w:sz w:val="21"/>
        </w:rPr>
        <w:t>World Engine verwendet Ports-and-Adapters-Semantik mit einem expliziten Eigentümer für jeden Vertrag. Host / Composition Root komponiert den Prozess; Core koordiniert nur genehmigte Use Cases; Implementierungsabhängigkeiten zeigen zu Abstraktionen und müssen einen DAG bilden.</w:t>
      </w:r>
    </w:p>
    <w:p>
      <w:pPr>
        <w:pStyle w:val="Heading2"/>
      </w:pPr>
      <w:r>
        <w:t>ADR-008 · Dependency Semantics, Contract Ownership &amp; Composition Root</w:t>
      </w:r>
    </w:p>
    <w:p>
      <w:pPr>
        <w:pStyle w:val="Heading2"/>
      </w:pPr>
      <w:r>
        <w:t>2. Typen architektonischer Beziehungen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Normative rule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Static dependency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Import/Referenz zwischen Implementation Units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Dependency Graph prüft sie; Zyklen sind verboten.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Runtime call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Aufruf zur Laufzeit über einen Vertrag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Bedeutet keine umgekehrte static dependency.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Semantische Nachricht ohne immediate result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 Command ≠ Query; Event Engine ist kein RPC.</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 flow</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Übertragung von Snapshot/Evidence/Payload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Überträgt Ownership nicht automatisch.</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Verantwortung für Semantik, Regeln und Mutation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Genau ein expliziter Owner pro Concern.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Erzeugung, Startup, Readiness, Shutdown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Gehört Host / Composition Root.</w:t>
            </w:r>
          </w:p>
        </w:tc>
      </w:tr>
    </w:tbl>
    <w:p>
      <w:pPr>
        <w:spacing w:after="40"/>
      </w:pPr>
    </w:p>
    <w:p>
      <w:pPr>
        <w:pStyle w:val="Heading2"/>
      </w:pPr>
      <w:r>
        <w:t>3. Ownership und Composition Root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Host / Composition Root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Construction, explicit DI, top-level startup/shutdown, application readiness aggregation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Simulation-/Use-Case-Koordination und Core-eigener State; nicht der globale Objektgraph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Transport, Delivery Policy, Retry/Backpressure; nicht Domain Truth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Timing und Trigger; keine Rückabhängigkeit auf Core oder direkte Save-Manager-Abhängigkeit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Contract, Checkpoint Promotion, Restore Validation und atomare Activation 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 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Physische Speichermechanik hinter dedizierten Ports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Einzige AI Capability-/Transport-/Security-Grenze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Registry / 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Discovery-/Profile-Evidence und persistierte Baseline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Game-spezifische Übersetzung und Capability-Implementierung</w:t>
            </w:r>
          </w:p>
        </w:tc>
      </w:tr>
    </w:tbl>
    <w:p>
      <w:pPr>
        <w:spacing w:after="40"/>
      </w:pPr>
    </w:p>
    <w:p>
      <w:pPr>
        <w:pStyle w:val="Heading2"/>
      </w:pPr>
      <w:r>
        <w:t>4. Zulässige Ports und Interaction Paths</w:t>
      </w:r>
    </w:p>
    <w:p>
      <w:pPr>
        <w:ind w:left="360" w:hanging="216"/>
      </w:pPr>
      <w:r>
        <w:t>• Application/Core → Save Manager Command-/Use-Case-Port ist für manuelles Save/Load erlaubt; Autosave läuft Scheduler → Event Engine: AutosaveDue → Save Manager Subscriber.</w:t>
      </w:r>
    </w:p>
    <w:p>
      <w:pPr>
        <w:ind w:left="360" w:hanging="216"/>
      </w:pPr>
      <w:r>
        <w:t>• Game Adapter → Game Ingress Port für normalisierte Eingaben; Application/Integration → Game Output/Capability Port, implementiert durch den Adapter.</w:t>
      </w:r>
    </w:p>
    <w:p>
      <w:pPr>
        <w:ind w:left="360" w:hanging="216"/>
      </w:pPr>
      <w:r>
        <w:t>• Approved Consumer → AI Adapter → Context Manager → Provider Abstraction → Provider. Core ist kein generischer AI Consumer.</w:t>
      </w:r>
    </w:p>
    <w:p>
      <w:pPr>
        <w:ind w:left="360" w:hanging="216"/>
      </w:pPr>
      <w:r>
        <w:t>• Core → Repository ist nur als separater, schmaler Core-eigener Status-/Persistenzport nach starkem Architecture Gate zulässig; generisches CRUD ist verboten.</w:t>
      </w:r>
    </w:p>
    <w:p>
      <w:pPr>
        <w:ind w:left="360" w:hanging="216"/>
      </w:pPr>
      <w:r>
        <w:t>• SaveParticipants werden Save Manager über explizite Registration-/Composition-Wiring übergeben; Runtime Module Lookup und Service Locator sind verboten.</w:t>
      </w:r>
    </w:p>
    <w:p>
      <w:pPr>
        <w:pStyle w:val="Heading2"/>
      </w:pPr>
      <w:r>
        <w:t>Canonical interaction map</w:t>
      </w:r>
    </w:p>
    <w:p>
      <w:r>
        <w:rPr>
          <w:rFonts w:ascii="Helvetica Neue" w:hAnsi="Helvetica Neue" w:eastAsia="Helvetica Neue"/>
          <w:color w:val="000000"/>
          <w:sz w:val="21"/>
        </w:rPr>
        <w:t>Host / Composition Root -&gt; components : construct + wire + lifecycle</w:t>
      </w:r>
    </w:p>
    <w:p>
      <w:r>
        <w:rPr>
          <w:rFonts w:ascii="Helvetica Neue" w:hAnsi="Helvetica Neue" w:eastAsia="Helvetica Neue"/>
          <w:color w:val="000000"/>
          <w:sz w:val="21"/>
        </w:rPr>
        <w:t>Scheduler -&gt; Event Engine : AutosaveDue</w:t>
      </w:r>
    </w:p>
    <w:p>
      <w:r>
        <w:rPr>
          <w:rFonts w:ascii="Helvetica Neue" w:hAnsi="Helvetica Neue" w:eastAsia="Helvetica Neue"/>
          <w:color w:val="000000"/>
          <w:sz w:val="21"/>
        </w:rPr>
        <w:t>Application/Core -&gt; Save Manager : explicit Save/Load use-case port</w:t>
      </w:r>
    </w:p>
    <w:p>
      <w:r>
        <w:rPr>
          <w:rFonts w:ascii="Helvetica Neue" w:hAnsi="Helvetica Neue" w:eastAsia="Helvetica Neue"/>
          <w:color w:val="000000"/>
          <w:sz w:val="21"/>
        </w:rPr>
        <w:t>Game Adapter -&gt; Game Ingress Port : normalized input</w:t>
      </w:r>
    </w:p>
    <w:p>
      <w:r>
        <w:rPr>
          <w:rFonts w:ascii="Helvetica Neue" w:hAnsi="Helvetica Neue" w:eastAsia="Helvetica Neue"/>
          <w:color w:val="000000"/>
          <w:sz w:val="21"/>
        </w:rPr>
        <w:t>Application -&gt; Game Output/Capability Port &lt;- Game Adapter</w:t>
      </w:r>
    </w:p>
    <w:p>
      <w:r>
        <w:rPr>
          <w:rFonts w:ascii="Helvetica Neue" w:hAnsi="Helvetica Neue" w:eastAsia="Helvetica Neue"/>
          <w:color w:val="000000"/>
          <w:sz w:val="21"/>
        </w:rPr>
        <w:t>Approved Consumer -&gt; AI Adapter -&gt; Context Manager -&gt; Provider</w:t>
      </w:r>
    </w:p>
    <w:p>
      <w:r>
        <w:rPr>
          <w:rFonts w:ascii="Helvetica Neue" w:hAnsi="Helvetica Neue" w:eastAsia="Helvetica Neue"/>
          <w:color w:val="000000"/>
          <w:sz w:val="21"/>
        </w:rPr>
        <w:t>Domain owner -&gt; dedicated repository port &lt;- persistence implementation</w:t>
      </w:r>
    </w:p>
    <w:p>
      <w:pPr>
        <w:pStyle w:val="Heading2"/>
      </w:pPr>
      <w:r>
        <w:t>5. Layer Placement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Owns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Dependency rule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Entities, Policies, Invariants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Importiert weder Adapter, SQLite, Provider SDK noch Game SDK.</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Use Cases, Coordination, owned Ports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Hängt von Contracts statt konkreter Infrastructure ab.</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Infrastructure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Repository Implementations, Transports, Providers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Implementiert nach innen gerichtete Ports.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Host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Composition und Process Lifecycle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Einziger Ort für top-level Wiring.</w:t>
            </w:r>
          </w:p>
        </w:tc>
      </w:tr>
    </w:tbl>
    <w:p>
      <w:pPr>
        <w:spacing w:after="40"/>
      </w:pPr>
    </w:p>
    <w:p>
      <w:pPr>
        <w:pStyle w:val="Heading2"/>
      </w:pPr>
      <w:r>
        <w:t>6. Lifecycle, Readiness und Authoritative State</w:t>
      </w:r>
    </w:p>
    <w:p>
      <w:pPr>
        <w:ind w:left="360" w:hanging="216"/>
      </w:pPr>
      <w:r>
        <w:t>• Eine Komponente meldet eigene Readiness-/Capability-Evidence; Host aggregiert Application-Level Ready, Degraded, Startup Failed oder Recovery Required.</w:t>
      </w:r>
    </w:p>
    <w:p>
      <w:pPr>
        <w:ind w:left="360" w:hanging="216"/>
      </w:pPr>
      <w:r>
        <w:t>• Eine optionale Capability darf Ready nicht fälschlich blockieren, ihr Fehlen muss aber gemäß Policy ehrlich als Degraded/Unavailable erscheinen.</w:t>
      </w:r>
    </w:p>
    <w:p>
      <w:pPr>
        <w:ind w:left="360" w:hanging="216"/>
      </w:pPr>
      <w:r>
        <w:t>• Restore verwendet einen non-live Candidate: deserialize → stage all participants → cross-participant validation → atomic logical activation; Normalbetrieb beginnt erst nach Erfolg.</w:t>
      </w:r>
    </w:p>
    <w:p>
      <w:pPr>
        <w:ind w:left="360" w:hanging="216"/>
      </w:pPr>
      <w:r>
        <w:t>• Ein Committed Save ist ein persistierter/wiederherstellbarer Checkpoint, nicht eine kontinuierlich aktuelle Live-State-Authority.</w:t>
      </w:r>
    </w:p>
    <w:p>
      <w:pPr>
        <w:pStyle w:val="Heading2"/>
      </w:pPr>
      <w:r>
        <w:t>7. Security und Failure Boundaries</w:t>
      </w:r>
    </w:p>
    <w:p>
      <w:pPr>
        <w:ind w:left="360" w:hanging="216"/>
      </w:pPr>
      <w:r>
        <w:t>• External-/Plugin-/AI-Input ist untrusted und durchläuft Schema-, Größen-, Timeout-, Permission- und deterministische Validierung.</w:t>
      </w:r>
    </w:p>
    <w:p>
      <w:pPr>
        <w:ind w:left="360" w:hanging="216"/>
      </w:pPr>
      <w:r>
        <w:t>• AI, Plugin Detection und Game Adapter besitzen weder direkten SQLite-Zugriff noch das Recht, fremden Domain State zu ändern.</w:t>
      </w:r>
    </w:p>
    <w:p>
      <w:pPr>
        <w:ind w:left="360" w:hanging="216"/>
      </w:pPr>
      <w:r>
        <w:t>• Secrets werden durch Configuration Subsystem/Host aufgelöst; Raw Configuration und Credentials werden nicht über eine globale Registry verteilt.</w:t>
      </w:r>
    </w:p>
    <w:p>
      <w:pPr>
        <w:ind w:left="360" w:hanging="216"/>
      </w:pPr>
      <w:r>
        <w:t>• Eine Failure Boundary darf nach partieller Persistence oder Restore Activation keinen Erfolg melden.</w:t>
      </w:r>
    </w:p>
    <w:p>
      <w:pPr>
        <w:pStyle w:val="Heading2"/>
      </w:pPr>
      <w:r>
        <w:t>Mandatory invariants</w:t>
      </w:r>
    </w:p>
    <w:p>
      <w:pPr>
        <w:ind w:left="360" w:hanging="216"/>
      </w:pPr>
      <w:r>
        <w:t>• No Service Locator / global mutable module registry.</w:t>
      </w:r>
    </w:p>
    <w:p>
      <w:pPr>
        <w:ind w:left="360" w:hanging="216"/>
      </w:pPr>
      <w:r>
        <w:t>• No direct SQLite access outside persistence implementation.</w:t>
      </w:r>
    </w:p>
    <w:p>
      <w:pPr>
        <w:ind w:left="360" w:hanging="216"/>
      </w:pPr>
      <w:r>
        <w:t>• No AI/provider authority over deterministic domain state.</w:t>
      </w:r>
    </w:p>
    <w:p>
      <w:pPr>
        <w:ind w:left="360" w:hanging="216"/>
      </w:pPr>
      <w:r>
        <w:t>• No partial logical activation after failed restore validation.</w:t>
      </w:r>
    </w:p>
    <w:p>
      <w:pPr>
        <w:ind w:left="360" w:hanging="216"/>
      </w:pPr>
      <w:r>
        <w:t>• No unlabeled arrow may be used to justify an implementation dependency.</w:t>
      </w:r>
    </w:p>
    <w:p>
      <w:pPr>
        <w:pStyle w:val="Heading2"/>
      </w:pPr>
      <w:r>
        <w:t>8. Folgen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Outcome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Vorteil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Mechanisch prüfbarer DAG, klares Contract Ownership, austauschbare Infrastructure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Kosten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Mehr schmale Interfaces, Composition Wiring, Contract Tests und Traceability.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Risiko</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Zu generische Ports können erneut einen Service Locator erzeugen; das ist ein Architecture Defect.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Governance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Neue Cross-Module Dependency, Contract-Ownership-Änderung oder Process Boundary erfordert ADR/Review.</w:t>
            </w:r>
          </w:p>
        </w:tc>
      </w:tr>
    </w:tbl>
    <w:p>
      <w:pPr>
        <w:spacing w:after="40"/>
      </w:pPr>
    </w:p>
    <w:p>
      <w:pPr>
        <w:pStyle w:val="Heading2"/>
      </w:pPr>
      <w:r>
        <w:t>9. Acceptance Criteria</w:t>
      </w:r>
    </w:p>
    <w:p>
      <w:pPr>
        <w:ind w:left="360" w:hanging="216"/>
      </w:pPr>
      <w:r>
        <w:t>• Der statische Dependency Graph enthält keine gerichteten Implementierungszyklen.</w:t>
      </w:r>
    </w:p>
    <w:p>
      <w:pPr>
        <w:ind w:left="360" w:hanging="216"/>
      </w:pPr>
      <w:r>
        <w:t>• Jede Diagrammkante besitzt einen Relation Type oder wird durch eine Legende eindeutig bestimmt.</w:t>
      </w:r>
    </w:p>
    <w:p>
      <w:pPr>
        <w:ind w:left="360" w:hanging="216"/>
      </w:pPr>
      <w:r>
        <w:t>• Keine konkrete Core→Scheduler-Rückkante, direkte Scheduler→Save-Manager-Kante, kein Core→Game-Adapter-Zyklus, kein generisches Core→Repository CRUD und kein generisches Core→AI.</w:t>
      </w:r>
    </w:p>
    <w:p>
      <w:pPr>
        <w:ind w:left="360" w:hanging="216"/>
      </w:pPr>
      <w:r>
        <w:t>• RU-/DE-Artefakte enthalten dieselben normativen Regeln und Version-/Status-Metadaten.</w:t>
      </w:r>
    </w:p>
    <w:p>
      <w:pPr>
        <w:ind w:left="360" w:hanging="216"/>
      </w:pPr>
      <w:r>
        <w:t>• Architecture-, ADR- und MOD-Dokumente verwenden dasselbe Ownership für Lifecycle, Ports und Authoritative State.</w:t>
      </w:r>
    </w:p>
    <w:p>
      <w:pPr>
        <w:pStyle w:val="Heading2"/>
      </w:pPr>
      <w:r>
        <w:t>10. Supersession und Traceability</w:t>
      </w:r>
    </w:p>
    <w:p>
      <w:r>
        <w:rPr>
          <w:rFonts w:ascii="Helvetica Neue" w:hAnsi="Helvetica Neue" w:eastAsia="Helvetica Neue"/>
          <w:color w:val="000000"/>
          <w:sz w:val="21"/>
        </w:rPr>
        <w:t>ADR-008 entfernt ADR-001–007 nicht. Bei widersprüchlichen Auslegungen bestimmen dieser Record und die zugehörigen v1.1/v1.2 Amendments World Engine Version 1.x. Historische v1.0-Dokumente bleiben als Entscheidungskontext verfügbar.</w:t>
      </w:r>
    </w:p>
    <w:p>
      <w:r>
        <w:rPr>
          <w:rFonts w:ascii="Helvetica Neue" w:hAnsi="Helvetica Neue" w:eastAsia="Helvetica Neue"/>
          <w:color w:val="000000"/>
          <w:sz w:val="21"/>
        </w:rPr>
        <w:t>AUDIT-001–009; ARCH-004 v1.4; ARCH-005 v1.4; ARCH-006 v1.2; ARCH-007 v4; ARCH-008–012 audited; MOD-001 v1.2.</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Rebuilt audited decision from the approved repository audit baseline.</w:t>
            </w:r>
          </w:p>
        </w:tc>
      </w:tr>
    </w:tbl>
    <w:p>
      <w:pPr>
        <w:spacing w:after="40"/>
      </w:pPr>
    </w:p>
    <w:p>
      <w:pPr>
        <w:pStyle w:val="Heading1"/>
      </w:pPr>
      <w:r>
        <w:t>Vollständige Detailspezifikation und Nachvollziehbarkeit</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docs/02_Architecture_Decision_Records/ADR-008_Dependency_Semantics_Contract_Ownership/ADR-008_Dependency_Semantics_Contract_Ownership_DE_v1_0_Proposed_Audited.docx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597e65b8953cd3d8</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ADR-008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ADR-008 — Abhängigkeitssemantik und Vertragseigentum</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