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000"/>
        <w:jc w:val="center"/>
      </w:pPr>
      <w:r>
        <w:rPr>
          <w:rFonts w:ascii="Helvetica Neue" w:hAnsi="Helvetica Neue" w:eastAsia="Helvetica Neue"/>
          <w:b/>
          <w:color w:val="17365D"/>
          <w:sz w:val="22"/>
        </w:rPr>
        <w:t>WORLD ENGINE   /   ADR-008</w:t>
      </w:r>
    </w:p>
    <w:p>
      <w:pPr>
        <w:pStyle w:val="Title"/>
        <w:spacing w:before="720"/>
        <w:jc w:val="center"/>
      </w:pPr>
      <w:r>
        <w:t>Семантика зависимостей и владение контрактами</w:t>
      </w:r>
    </w:p>
    <w:p>
      <w:pPr>
        <w:jc w:val="center"/>
      </w:pPr>
      <w:r>
        <w:rPr>
          <w:rFonts w:ascii="Helvetica Neue" w:hAnsi="Helvetica Neue" w:eastAsia="Helvetica Neue"/>
          <w:b/>
          <w:color w:val="667085"/>
          <w:sz w:val="20"/>
        </w:rPr>
        <w:t>FULL CONTENT · ARCHITECTURE AUDITED · COMPLETE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ADR-008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2.0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Русский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Статус редакции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Проверено архитектурным аудитом — полная консолидированная версия</w:t>
            </w:r>
          </w:p>
        </w:tc>
      </w:tr>
    </w:tbl>
    <w:p>
      <w:pPr>
        <w:spacing w:before="440"/>
        <w:jc w:val="center"/>
      </w:pPr>
      <w:r>
        <w:rPr>
          <w:rFonts w:ascii="Helvetica Neue" w:hAnsi="Helvetica Neue" w:eastAsia="Helvetica Neue"/>
          <w:b/>
          <w:color w:val="17365D"/>
          <w:sz w:val="18"/>
        </w:rPr>
        <w:t>Проверено архитектурным аудитом — полная консолидированная версия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</w:t>
        <w:fldChar w:fldCharType="end"/>
      </w:r>
    </w:p>
    <w:p>
      <w:r>
        <w:br w:type="page"/>
      </w:r>
    </w:p>
    <w:p>
      <w:pPr>
        <w:pStyle w:val="Heading1"/>
      </w:pPr>
      <w:r>
        <w:t>Назначение и правила применения</w:t>
      </w:r>
    </w:p>
    <w:p>
      <w:r>
        <w:t>Этот документ является полной консолидированной версией. Он объединяет действующие проверенные решения, подробное техническое содержание прежних версий, дополнения, таблицы и схемы. Краткий проверенный слой ниже имеет нормативный приоритет. Если сохранённый исторический фрагмент ему противоречит, действует исправленное правило из нормативного слоя; исторический фрагмент оставлен только для полноты и прослеживаемости.</w:t>
      </w:r>
    </w:p>
    <w:p>
      <w:pPr>
        <w:pStyle w:val="Heading2"/>
      </w:pPr>
      <w:r>
        <w:t>Правило приоритета</w:t>
      </w:r>
    </w:p>
    <w:p>
      <w:pPr>
        <w:keepLines/>
      </w:pPr>
      <w:r>
        <w:t>Нормативные формулировки текущей проверенной версии заменяют несовместимые формулировки ранних версий. Остальные подробности ранних версий сохраняются как действующая детализация, если они не конфликтуют с нормативным слоем.</w:t>
      </w:r>
    </w:p>
    <w:p>
      <w:pPr>
        <w:pStyle w:val="Heading1"/>
      </w:pPr>
      <w:r>
        <w:t>Действующая проверенная спецификация</w:t>
      </w:r>
    </w:p>
    <w:p>
      <w:pPr>
        <w:pStyle w:val="Heading2"/>
      </w:pPr>
      <w:r>
        <w:t>Нормативный источник: ADR-008_Dependency_Semantics_Contract_Ownership_RU_v1_0_Proposed_Audited.docx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docs/02_Architecture_Decision_Records/ADR-008_Dependency_Semantics_Contract_Ownership/ADR-008_Dependency_Semantics_Contract_Ownership_RU_v1_0_Proposed_Audited.docx</w:t>
      </w:r>
    </w:p>
    <w:p>
      <w:pPr>
        <w:pStyle w:val="Heading2"/>
      </w:pPr>
      <w:r>
        <w:t>ARCHITECTURE DECISION RECORD</w:t>
      </w:r>
    </w:p>
    <w:p>
      <w:pPr>
        <w:pStyle w:val="Heading2"/>
      </w:pPr>
      <w:r>
        <w:t>ADR-008 — Dependency Semantics, Contract Ownership &amp; Composition Root</w:t>
      </w:r>
    </w:p>
    <w:p>
      <w:pPr>
        <w:pStyle w:val="Heading2"/>
      </w:pPr>
      <w:r>
        <w:t>Proposed Audited v1.0 · нормативное решение для World Engine Version 1.x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Язык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Статус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Proposed — Architecture Audited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Дата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Родительское решение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New audited decision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Область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decision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Целевой релиз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Version 1.x</w:t>
            </w:r>
          </w:p>
        </w:tc>
      </w:tr>
    </w:tbl>
    <w:p>
      <w:pPr>
        <w:spacing w:after="40"/>
      </w:pPr>
    </w:p>
    <w:p>
      <w:pPr>
        <w:pStyle w:val="Heading2"/>
      </w:pPr>
      <w:r>
        <w:t>1. Статус и контекст</w:t>
      </w:r>
    </w:p>
    <w:p>
      <w:r>
        <w:rPr>
          <w:rFonts w:ascii="Helvetica Neue" w:hAnsi="Helvetica Neue" w:eastAsia="Helvetica Neue"/>
          <w:color w:val="000000"/>
          <w:sz w:val="21"/>
        </w:rPr>
        <w:t>Предложено после architecture audit. После принятия это ADR становится общей интерпретационной основой для ADR-001–007 и ARCH-001–012.</w:t>
      </w:r>
    </w:p>
    <w:p>
      <w:pPr>
        <w:pStyle w:val="Heading2"/>
      </w:pPr>
      <w:r>
        <w:t>Контекст</w:t>
      </w:r>
    </w:p>
    <w:p>
      <w:r>
        <w:rPr>
          <w:rFonts w:ascii="Helvetica Neue" w:hAnsi="Helvetica Neue" w:eastAsia="Helvetica Neue"/>
          <w:color w:val="000000"/>
          <w:sz w:val="21"/>
        </w:rPr>
        <w:t>Ранее документы смешивали статические зависимости, runtime-вызовы, события, data flow, владение и lifecycle wiring. Одинаковые стрелки допускали противоположные трактовки и скрывали циклы Core↔Scheduler, Core↔Game Adapter и широкие зависимости Core от Repository/AI.</w:t>
      </w:r>
    </w:p>
    <w:p>
      <w:pPr>
        <w:pStyle w:val="Heading2"/>
      </w:pPr>
      <w:r>
        <w:t>Решение</w:t>
      </w:r>
    </w:p>
    <w:p>
      <w:r>
        <w:rPr>
          <w:rFonts w:ascii="Helvetica Neue" w:hAnsi="Helvetica Neue" w:eastAsia="Helvetica Neue"/>
          <w:color w:val="000000"/>
          <w:sz w:val="21"/>
        </w:rPr>
        <w:t>World Engine применяет ports-and-adapters semantics с явным владельцем каждого контракта. Host / Composition Root собирает процесс; Core координирует только утверждённые use cases; implementation dependencies направлены к абстракциям и должны образовывать DAG.</w:t>
      </w:r>
    </w:p>
    <w:p>
      <w:pPr>
        <w:pStyle w:val="Heading2"/>
      </w:pPr>
      <w:r>
        <w:t>ADR-008 · Dependency Semantics, Contract Ownership &amp; Composition Root</w:t>
      </w:r>
    </w:p>
    <w:p>
      <w:pPr>
        <w:pStyle w:val="Heading2"/>
      </w:pPr>
      <w:r>
        <w:t>2. Типы архитектурных отношений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Нормативное правило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Static dependency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Import/reference между implementation units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Проверяется dependency graph; цикл запрещён.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call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Вызов во время выполнения через контракт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означает обратную static dependency.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Семантическое уведомление без immediate result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≠ Command ≠ Query; Event Engine не RPC.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 flow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Передача снимка/evidence/payload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передаёт ownership автоматически.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Ответственность за семантику, правила и изменение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Ровно один явный owner на concern.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wiring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Создание, startup, readiness, shutdown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Принадлежит Host / Composition Root.</w:t>
            </w:r>
          </w:p>
        </w:tc>
      </w:tr>
    </w:tbl>
    <w:p>
      <w:pPr>
        <w:spacing w:after="40"/>
      </w:pPr>
    </w:p>
    <w:p>
      <w:pPr>
        <w:pStyle w:val="Heading2"/>
      </w:pPr>
      <w:r>
        <w:t>3. Владение и Composition Root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Ответственность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Host / Composition Root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Construction, explicit DI, top-level startup/shutdown, application readiness aggregation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Simulation/use-case coordination and Core-owned state; not global object graph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transport, delivery policy, retry/backpressure; not domain truth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Timing and triggers; no reverse Core or direct Save Manager dependency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Contract, checkpoint promotion, restore validation and atomic activation orchestration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 / Persistence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Physical storage mechanics behind dedicated ports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Single AI capability/transport/security boundary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Registry / Repository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discovery/profile evidence and persisted baseline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Game-specific translation and capability implementation</w:t>
            </w:r>
          </w:p>
        </w:tc>
      </w:tr>
    </w:tbl>
    <w:p>
      <w:pPr>
        <w:spacing w:after="40"/>
      </w:pPr>
    </w:p>
    <w:p>
      <w:pPr>
        <w:pStyle w:val="Heading2"/>
      </w:pPr>
      <w:r>
        <w:t>4. Разрешённые ports и interaction paths</w:t>
      </w:r>
    </w:p>
    <w:p>
      <w:pPr>
        <w:ind w:left="360" w:hanging="216"/>
      </w:pPr>
      <w:r>
        <w:t>• Application/Core → Save Manager command/use-case port разрешён для manual Save/Load; scheduled autosave идёт Scheduler → Event Engine: AutosaveDue → Save Manager subscriber.</w:t>
      </w:r>
    </w:p>
    <w:p>
      <w:pPr>
        <w:ind w:left="360" w:hanging="216"/>
      </w:pPr>
      <w:r>
        <w:t>• Game Adapter → Game Ingress Port для нормализованных входов; application/integration → Game Output/Capability Port, реализованный adapter.</w:t>
      </w:r>
    </w:p>
    <w:p>
      <w:pPr>
        <w:ind w:left="360" w:hanging="216"/>
      </w:pPr>
      <w:r>
        <w:t>• Approved Consumer → AI Adapter → Context Manager → Provider Abstraction → Provider. Core не generic AI consumer.</w:t>
      </w:r>
    </w:p>
    <w:p>
      <w:pPr>
        <w:ind w:left="360" w:hanging="216"/>
      </w:pPr>
      <w:r>
        <w:t>• Core → Repository допускается только как отдельный узкий Core-owned status/persistence port после strong architecture gate; generic CRUD запрещён.</w:t>
      </w:r>
    </w:p>
    <w:p>
      <w:pPr>
        <w:ind w:left="360" w:hanging="216"/>
      </w:pPr>
      <w:r>
        <w:t>• SaveParticipants передаются Save Manager явной registration/composition wiring; runtime module lookup и Service Locator запрещены.</w:t>
      </w:r>
    </w:p>
    <w:p>
      <w:pPr>
        <w:pStyle w:val="Heading2"/>
      </w:pPr>
      <w:r>
        <w:t>Canonical interaction map</w:t>
      </w:r>
    </w:p>
    <w:p>
      <w:r>
        <w:rPr>
          <w:rFonts w:ascii="Helvetica Neue" w:hAnsi="Helvetica Neue" w:eastAsia="Helvetica Neue"/>
          <w:color w:val="000000"/>
          <w:sz w:val="21"/>
        </w:rPr>
        <w:t>Host / Composition Root -&gt; components : construct + wire + lifecycle</w:t>
      </w:r>
    </w:p>
    <w:p>
      <w:r>
        <w:rPr>
          <w:rFonts w:ascii="Helvetica Neue" w:hAnsi="Helvetica Neue" w:eastAsia="Helvetica Neue"/>
          <w:color w:val="000000"/>
          <w:sz w:val="21"/>
        </w:rPr>
        <w:t>Scheduler -&gt; Event Engine : AutosaveDue</w:t>
      </w:r>
    </w:p>
    <w:p>
      <w:r>
        <w:rPr>
          <w:rFonts w:ascii="Helvetica Neue" w:hAnsi="Helvetica Neue" w:eastAsia="Helvetica Neue"/>
          <w:color w:val="000000"/>
          <w:sz w:val="21"/>
        </w:rPr>
        <w:t>Application/Core -&gt; Save Manager : explicit Save/Load use-case port</w:t>
      </w:r>
    </w:p>
    <w:p>
      <w:r>
        <w:rPr>
          <w:rFonts w:ascii="Helvetica Neue" w:hAnsi="Helvetica Neue" w:eastAsia="Helvetica Neue"/>
          <w:color w:val="000000"/>
          <w:sz w:val="21"/>
        </w:rPr>
        <w:t>Game Adapter -&gt; Game Ingress Port : normalized input</w:t>
      </w:r>
    </w:p>
    <w:p>
      <w:r>
        <w:rPr>
          <w:rFonts w:ascii="Helvetica Neue" w:hAnsi="Helvetica Neue" w:eastAsia="Helvetica Neue"/>
          <w:color w:val="000000"/>
          <w:sz w:val="21"/>
        </w:rPr>
        <w:t>Application -&gt; Game Output/Capability Port &lt;- Game Adapter</w:t>
      </w:r>
    </w:p>
    <w:p>
      <w:r>
        <w:rPr>
          <w:rFonts w:ascii="Helvetica Neue" w:hAnsi="Helvetica Neue" w:eastAsia="Helvetica Neue"/>
          <w:color w:val="000000"/>
          <w:sz w:val="21"/>
        </w:rPr>
        <w:t>Approved Consumer -&gt; AI Adapter -&gt; Context Manager -&gt; Provider</w:t>
      </w:r>
    </w:p>
    <w:p>
      <w:r>
        <w:rPr>
          <w:rFonts w:ascii="Helvetica Neue" w:hAnsi="Helvetica Neue" w:eastAsia="Helvetica Neue"/>
          <w:color w:val="000000"/>
          <w:sz w:val="21"/>
        </w:rPr>
        <w:t>Domain owner -&gt; dedicated repository port &lt;- persistence implementation</w:t>
      </w:r>
    </w:p>
    <w:p>
      <w:pPr>
        <w:pStyle w:val="Heading2"/>
      </w:pPr>
      <w:r>
        <w:t>5. Layer placement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Владеет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Правило зависимости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Entities, policies, invariants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импортирует adapters, SQLite, provider SDK или game SDK.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cases, coordination, owned ports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Зависит от contracts, а не concrete infrastructure.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Infrastructure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 implementations, transports, providers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Реализует inward-facing ports.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Host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Composition and process lifecycle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Единственное место top-level wiring.</w:t>
            </w:r>
          </w:p>
        </w:tc>
      </w:tr>
    </w:tbl>
    <w:p>
      <w:pPr>
        <w:spacing w:after="40"/>
      </w:pPr>
    </w:p>
    <w:p>
      <w:pPr>
        <w:pStyle w:val="Heading2"/>
      </w:pPr>
      <w:r>
        <w:t>6. Lifecycle, readiness и authoritative state</w:t>
      </w:r>
    </w:p>
    <w:p>
      <w:pPr>
        <w:ind w:left="360" w:hanging="216"/>
      </w:pPr>
      <w:r>
        <w:t>• Компонент сообщает собственную readiness/capability evidence; Host агрегирует application-level Ready, Degraded, Startup Failed или Recovery Required.</w:t>
      </w:r>
    </w:p>
    <w:p>
      <w:pPr>
        <w:ind w:left="360" w:hanging="216"/>
      </w:pPr>
      <w:r>
        <w:t>• Optional capability не должна ложно блокировать Ready, но её отсутствие должно быть честно отражено как Degraded/Unavailable по policy.</w:t>
      </w:r>
    </w:p>
    <w:p>
      <w:pPr>
        <w:ind w:left="360" w:hanging="216"/>
      </w:pPr>
      <w:r>
        <w:t>• Restore выполняется через non-live candidate: deserialize → stage all participants → cross-participant validation → atomic logical activation; normal operation возобновляется только после успеха.</w:t>
      </w:r>
    </w:p>
    <w:p>
      <w:pPr>
        <w:ind w:left="360" w:hanging="216"/>
      </w:pPr>
      <w:r>
        <w:t>• Committed Save является persisted/restorable checkpoint, а не непрерывно актуальным live-state authority.</w:t>
      </w:r>
    </w:p>
    <w:p>
      <w:pPr>
        <w:pStyle w:val="Heading2"/>
      </w:pPr>
      <w:r>
        <w:t>7. Security и failure boundaries</w:t>
      </w:r>
    </w:p>
    <w:p>
      <w:pPr>
        <w:ind w:left="360" w:hanging="216"/>
      </w:pPr>
      <w:r>
        <w:t>• External/plugin/AI input является untrusted и проходит schema, size, timeout, permission и deterministic validation.</w:t>
      </w:r>
    </w:p>
    <w:p>
      <w:pPr>
        <w:ind w:left="360" w:hanging="216"/>
      </w:pPr>
      <w:r>
        <w:t>• AI, Plugin Detection и Game Adapter не имеют прямого SQLite access или права менять чужой domain state.</w:t>
      </w:r>
    </w:p>
    <w:p>
      <w:pPr>
        <w:ind w:left="360" w:hanging="216"/>
      </w:pPr>
      <w:r>
        <w:t>• Секреты разрешает Configuration Subsystem/Host; raw configuration и credentials не распространяются через глобальный registry.</w:t>
      </w:r>
    </w:p>
    <w:p>
      <w:pPr>
        <w:ind w:left="360" w:hanging="216"/>
      </w:pPr>
      <w:r>
        <w:t>• Failure boundary не может сообщать success после частичной persistence или restore activation.</w:t>
      </w:r>
    </w:p>
    <w:p>
      <w:pPr>
        <w:pStyle w:val="Heading2"/>
      </w:pPr>
      <w:r>
        <w:t>Mandatory invariants</w:t>
      </w:r>
    </w:p>
    <w:p>
      <w:pPr>
        <w:ind w:left="360" w:hanging="216"/>
      </w:pPr>
      <w:r>
        <w:t>• No Service Locator / global mutable module registry.</w:t>
      </w:r>
    </w:p>
    <w:p>
      <w:pPr>
        <w:ind w:left="360" w:hanging="216"/>
      </w:pPr>
      <w:r>
        <w:t>• No direct SQLite access outside persistence implementation.</w:t>
      </w:r>
    </w:p>
    <w:p>
      <w:pPr>
        <w:ind w:left="360" w:hanging="216"/>
      </w:pPr>
      <w:r>
        <w:t>• No AI/provider authority over deterministic domain state.</w:t>
      </w:r>
    </w:p>
    <w:p>
      <w:pPr>
        <w:ind w:left="360" w:hanging="216"/>
      </w:pPr>
      <w:r>
        <w:t>• No partial logical activation after failed restore validation.</w:t>
      </w:r>
    </w:p>
    <w:p>
      <w:pPr>
        <w:ind w:left="360" w:hanging="216"/>
      </w:pPr>
      <w:r>
        <w:t>• No unlabeled arrow may be used to justify an implementation dependency.</w:t>
      </w:r>
    </w:p>
    <w:p>
      <w:pPr>
        <w:pStyle w:val="Heading2"/>
      </w:pPr>
      <w:r>
        <w:t>8. Последствия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Плюс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Механически проверяемый DAG, ясное contract ownership, заменяемые infrastructure adapters.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Цена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Больше узких интерфейсов, composition wiring, contract tests и traceability.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Риск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Чрезмерно generic ports могут снова создать Service Locator; это architecture defect.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Governance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Новая cross-module dependency, contract ownership change или process boundary требует ADR/review.</w:t>
            </w:r>
          </w:p>
        </w:tc>
      </w:tr>
    </w:tbl>
    <w:p>
      <w:pPr>
        <w:spacing w:after="40"/>
      </w:pPr>
    </w:p>
    <w:p>
      <w:pPr>
        <w:pStyle w:val="Heading2"/>
      </w:pPr>
      <w:r>
        <w:t>9. Acceptance criteria</w:t>
      </w:r>
    </w:p>
    <w:p>
      <w:pPr>
        <w:ind w:left="360" w:hanging="216"/>
      </w:pPr>
      <w:r>
        <w:t>• Static dependency graph не содержит directed implementation cycles.</w:t>
      </w:r>
    </w:p>
    <w:p>
      <w:pPr>
        <w:ind w:left="360" w:hanging="216"/>
      </w:pPr>
      <w:r>
        <w:t>• Каждая diagram edge имеет тип relation либо однозначно определяется legend.</w:t>
      </w:r>
    </w:p>
    <w:p>
      <w:pPr>
        <w:ind w:left="360" w:hanging="216"/>
      </w:pPr>
      <w:r>
        <w:t>• Нет concrete Core→Scheduler reverse edge, Scheduler→Save Manager direct edge, Core→Game Adapter cycle, generic Core→Repository CRUD или generic Core→AI.</w:t>
      </w:r>
    </w:p>
    <w:p>
      <w:pPr>
        <w:ind w:left="360" w:hanging="216"/>
      </w:pPr>
      <w:r>
        <w:t>• RU/DE artifacts сохраняют одинаковые normative rules и version/status metadata.</w:t>
      </w:r>
    </w:p>
    <w:p>
      <w:pPr>
        <w:ind w:left="360" w:hanging="216"/>
      </w:pPr>
      <w:r>
        <w:t>• Architecture, ADR и MOD документы ссылаются на одно и то же владение lifecycle, ports и authoritative state.</w:t>
      </w:r>
    </w:p>
    <w:p>
      <w:pPr>
        <w:pStyle w:val="Heading2"/>
      </w:pPr>
      <w:r>
        <w:t>10. Supersession и traceability</w:t>
      </w:r>
    </w:p>
    <w:p>
      <w:r>
        <w:rPr>
          <w:rFonts w:ascii="Helvetica Neue" w:hAnsi="Helvetica Neue" w:eastAsia="Helvetica Neue"/>
          <w:color w:val="000000"/>
          <w:sz w:val="21"/>
        </w:rPr>
        <w:t>ADR-008 не удаляет ADR-001–007. При конфликте трактовок эта запись и соответствующие v1.1/v1.2 amendments определяют World Engine Version 1.x. Исторические v1.0 документы остаются доступными как контекст решения.</w:t>
      </w:r>
    </w:p>
    <w:p>
      <w:r>
        <w:rPr>
          <w:rFonts w:ascii="Helvetica Neue" w:hAnsi="Helvetica Neue" w:eastAsia="Helvetica Neue"/>
          <w:color w:val="000000"/>
          <w:sz w:val="21"/>
        </w:rPr>
        <w:t>AUDIT-001–009; ARCH-004 v1.4; ARCH-005 v1.4; ARCH-006 v1.2; ARCH-007 v4; ARCH-008–012 audited; MOD-001 v1.2.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Rebuilt audited decision from the approved repository audit baseline.</w:t>
            </w:r>
          </w:p>
        </w:tc>
      </w:tr>
    </w:tbl>
    <w:p>
      <w:pPr>
        <w:spacing w:after="40"/>
      </w:pPr>
    </w:p>
    <w:p>
      <w:pPr>
        <w:pStyle w:val="Heading1"/>
      </w:pPr>
      <w:r>
        <w:t>Полная подробная спецификация и прослеживаемость</w:t>
      </w:r>
    </w:p>
    <w:p>
      <w:pPr>
        <w:pStyle w:val="Heading1"/>
      </w:pPr>
      <w:r>
        <w:t>Реестр использованных источников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docs/02_Architecture_Decision_Records/ADR-008_Dependency_Semantics_Contract_Ownership/ADR-008_Dependency_Semantics_Contract_Ownership_RU_v1_0_Proposed_Audited.docx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Нормативный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6dd3446ada6eac40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88"/>
      <w:gridCol w:w="2304"/>
    </w:tblGrid>
    <w:tr>
      <w:trPr>
        <w:tblHeader w:val="true"/>
      </w:trP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>Проверено архитектурным аудитом — полная консолидированная версия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left"/>
      <w:pBdr>
        <w:bottom w:val="single" w:sz="8" w:space="4" w:color="17365D"/>
      </w:pBdr>
    </w:pPr>
    <w:r>
      <w:rPr>
        <w:rFonts w:ascii="Helvetica Neue" w:hAnsi="Helvetica Neue" w:eastAsia="Helvetica Neue"/>
        <w:b/>
        <w:color w:val="17365D"/>
        <w:sz w:val="17"/>
      </w:rPr>
      <w:t>WORLD ENGINE   /   ADR-008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59" w:lineRule="auto"/>
    </w:pPr>
    <w:rPr>
      <w:rFonts w:ascii="Helvetica Neue" w:hAnsi="Helvetica Neue" w:eastAsia="Helvetica Neue"/>
      <w:b w:val="0"/>
      <w:color w:val="000000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 w:line="259" w:lineRule="auto"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 w:line="259" w:lineRule="auto"/>
      <w:outlineLvl w:val="1"/>
    </w:pPr>
    <w:rPr>
      <w:rFonts w:ascii="Helvetica Neue" w:eastAsia="Helvetica Neue" w:hAnsi="Helvetica Neue" w:cs="Helvetica Neue"/>
      <w:b/>
      <w:bCs/>
      <w:color w:val="000000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80" w:after="80" w:line="259" w:lineRule="auto"/>
      <w:outlineLvl w:val="2"/>
    </w:pPr>
    <w:rPr>
      <w:rFonts w:ascii="Helvetica Neue" w:hAnsi="Helvetica Neue" w:eastAsia="Helvetica Neue"/>
      <w:b/>
      <w:bCs/>
      <w:color w:val="000000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80" w:line="259" w:lineRule="auto"/>
      <w:jc w:val="center"/>
    </w:pPr>
    <w:rPr>
      <w:rFonts w:ascii="Helvetica Neue" w:eastAsia="Helvetica Neue" w:hAnsi="Helvetica Neue" w:cs="Helvetica Neue"/>
      <w:b/>
      <w:bCs/>
      <w:color w:val="000000"/>
      <w:sz w:val="56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ADR-008 — Семантика зависимостей и владение контрактами</dc:title>
  <dc:subject>World Engine full content architecture-audited documentation</dc:subject>
  <dc:creator>World Engine project</dc:creator>
  <cp:keywords>World Engine, architecture, audited, complete</cp:keywords>
  <dc:description>Generated from the complete audited repository source set.</dc:description>
</cp:coreProperties>
</file>