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Architekturprinzipien und Dependency-Regeln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Architecture Principles &amp; Dependency Rules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Architekturprinzipien und Dependency-Regeln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Zweck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Dieses Dokument definiert verbindliche Ownership-, Dependency-Inversion- und Architecture-Governance-Regeln für alle World-Engine-Komponenten.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Beziehungstypen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378"/>
        <w:gridCol w:w="6558"/>
      </w:tblGrid>
      <w:tr>
        <w:trPr>
          <w:cantSplit w:val="true"/>
          <w:tblHeader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Typ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Kann Static Dependency erzeugen?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Static dependency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Ja — nur auf Public Contract/Port.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Runtime call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Nicht automatisch.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relation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 direkter Producer -&gt; Subscriber Edge.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Data flow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Nein; beschreibt Informationsbewegung.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Ownership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Nein; beschreibt Verantwortung.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Lifecycle wiring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Host-only Wiring, kein Runtime Lookup.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Dependency Inversion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Core/Application -&gt; Dialogue Use-Case Port &lt;- Dialogue implementation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Speech Output Port &lt;- Voice</w:t>
      </w:r>
      <w:r>
        <w:br/>
      </w:r>
      <w:r>
        <w:rPr>
          <w:rFonts w:ascii="Consolas" w:hAnsi="Consolas" w:eastAsia="Consolas"/>
          <w:color w:val="000000"/>
          <w:sz w:val="15"/>
        </w:rPr>
        <w:t>Context Manager -&gt; Memory Read / Context Source Port &lt;- Memory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SaveParticipant abstractions &lt;- State owners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Composition und Configuration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Application Host / Composition Root ist der einzige Process-level Graph Builder.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Das Configuration Subsystem erstellt Validated Effective Configuration; der Host verteilt Immutable Typed Views.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Service Locator, Global Mutable Registry und Runtime Container Lookup sind verboten.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Event-Regel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 Event Engine verarbeitet Semantic Facts und Decoupled Reactions. Commands/Queries mit sofortigem Ergebnis verwenden Narrow Use-Case Ports. Die Event Engine ist weder Generic RPC noch Transaction Owner.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Scheduler-Regel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Core -&gt; Scheduler control contract</w:t>
      </w:r>
      <w:r>
        <w:br/>
      </w:r>
      <w:r>
        <w:rPr>
          <w:rFonts w:ascii="Consolas" w:hAnsi="Consolas" w:eastAsia="Consolas"/>
          <w:color w:val="000000"/>
          <w:sz w:val="15"/>
        </w:rPr>
        <w:t>Scheduler -&gt; Event Engine : scheduled semantic event</w:t>
      </w:r>
      <w:r>
        <w:br/>
      </w:r>
      <w:r>
        <w:rPr>
          <w:rFonts w:ascii="Consolas" w:hAnsi="Consolas" w:eastAsia="Consolas"/>
          <w:color w:val="000000"/>
          <w:sz w:val="15"/>
        </w:rPr>
        <w:t>NO Scheduler -&gt; Core</w:t>
      </w:r>
      <w:r>
        <w:br/>
      </w:r>
      <w:r>
        <w:rPr>
          <w:rFonts w:ascii="Consolas" w:hAnsi="Consolas" w:eastAsia="Consolas"/>
          <w:color w:val="000000"/>
          <w:sz w:val="15"/>
        </w:rPr>
        <w:t>NO Scheduler -&gt; Save Manager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Autosave Policy und Retry gehören zur Save Architecture, nicht zum Scheduler.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Persistence-Regel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Dedicated Repository Port -&gt; Repository Implementation -&gt; SQLite.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führt kein Generic CRUD aus und importiert keinen DB Driver.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AI, Plugin Detection und Game Adapter haben keinen direkten Database Access.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 Persistence und Normal Domain Persistence bleiben getrennte Concerns.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Save/Restore Ownership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Der Save Manager besitzt Artifact Validation, Orchestration, Compatibility und Staging. State Owner wenden ihren eigenen Zustand an. Host/Activation Gate koordiniert Atomic Logical Activation. Core bleibt auf High-Level Load und Typed Outcome beschränkt.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AI-Authority-Regel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Approved Consumer -&gt; AI Adapter -&gt; Context Manager -&gt; Provider Abstraction.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Output benötigt Deterministic Validation und ist nicht autoritativ.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AI Readiness Evidence fehlt standardmäßig und wird nur für einen dokumentierten Core-owned Workflow aktiviert.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Readiness Scopes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  <w:tblHeader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Scope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Component Lifecycle/Readiness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Jeweilige Komponente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 Coordination Readiness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Application Outcome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Application Host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Provider/Adapter Health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AI/Game Integration Owner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Restore Activation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Manager + State Owner + Host Gate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Forbidden Edges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86"/>
        <w:gridCol w:w="7750"/>
      </w:tblGrid>
      <w:tr>
        <w:trPr>
          <w:cantSplit w:val="true"/>
          <w:tblHeader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Verbotene Beziehung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FORBID-001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Scheduler -&gt; Core / Save Manager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FORBID-002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Domain/Integration -&gt; SQLite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FORBID-003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 -&gt; Concrete Game Adapter/AI Provider/Domain Internals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FORBID-004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Engine as Generic RPC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FORBID-005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Runtime Service Locator/Global Config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FORBID-006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 -&gt; SaveParticipant Stage/Commit/Rollback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FORBID-007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Context Manager -&gt; Repository/SQLite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FORBID-008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-&gt; Game/Save/DB Authority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Governance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Ein neuer Implementation Edge erfordert ARCH-005-Update und Mechanical Cycle Check.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Boundary/Ownership Change erfordert ADR und Traceability Update.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Diagramme kennzeichnen Arrow Semantics explizit.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Prüfungen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3"/>
        <w:gridCol w:w="7353"/>
      </w:tblGrid>
      <w:tr>
        <w:trPr>
          <w:cantSplit w:val="true"/>
          <w:tblHeader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Gate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Anforderung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PR-ARCH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Forbidden Import/Edge Scan PASS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PR-CYCLE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Directed Graph acyclic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PR-PARITY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RU/DE Semantic Identifiers equal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PR-RENDER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Jede Seite geprüft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PR-TRACE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ADR/ARCH/MOD Traceability current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Änderungsverlauf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Änderungen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nach AUDIT-008–010; Downstream-Prüfungen AUDIT-014/015/018/021 berücksichtigt.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ARCH-004 Architekturprinzipien und Dependency-Regeln v1.4 Architecture Audited Complete</dc:title>
  <dc:subject>World Engine architecture foundation</dc:subject>
  <dc:creator>Andrii Drahulskyi</dc:creator>
  <cp:keywords>World Engine, ARCH-004, architecture audit, v1.4, DE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