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00"/>
        <w:jc w:val="center"/>
      </w:pPr>
      <w:r>
        <w:rPr>
          <w:rFonts w:ascii="Arial" w:hAnsi="Arial"/>
          <w:b/>
          <w:color w:val="17324D"/>
          <w:sz w:val="18"/>
        </w:rPr>
        <w:t>ARCHITECTURE DECISION RECORD</w:t>
      </w:r>
    </w:p>
    <w:p>
      <w:pPr>
        <w:pStyle w:val="Title"/>
        <w:widowControl/>
      </w:pPr>
      <w:r>
        <w:t>ADR 001 Core Architektur</w:t>
      </w:r>
    </w:p>
    <w:p>
      <w:pPr>
        <w:pStyle w:val="Subtitle"/>
        <w:widowControl/>
      </w:pPr>
      <w:r>
        <w:t>World Engine Architekturentscheidung</w:t>
      </w:r>
    </w:p>
    <w:p>
      <w:pPr>
        <w:pStyle w:val="Heading2"/>
        <w:keepNext/>
        <w:widowControl/>
      </w:pPr>
      <w:r>
        <w:t>Entscheidung im Überblick</w:t>
      </w:r>
    </w:p>
    <w:p>
      <w:pPr>
        <w:widowControl/>
        <w:spacing w:after="160"/>
      </w:pPr>
      <w:r>
        <w:t>Core koordiniert Anwendungsfälle und Simulation über explizite Verträge. Application Host und Composition Root erzeugen Komponenten, verdrahten Abhängigkeiten und steuern den Lebenszyklus der Anwendung. Spezialisierte Module behalten die Hoheit über ihre Fachlogik und ihren Zustand.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2520"/>
            <w:vAlign w:val="center"/>
            <w:tcMar>
              <w:top w:w="90" w:type="dxa"/>
              <w:start w:w="110" w:type="dxa"/>
              <w:bottom w:w="90" w:type="dxa"/>
              <w:end w:w="110" w:type="dxa"/>
            </w:tcMar>
            <w:shd w:fill="17324D"/>
          </w:tcPr>
          <w:p>
            <w:pPr>
              <w:spacing w:after="0" w:line="240" w:lineRule="auto"/>
            </w:pPr>
            <w:r>
              <w:rPr>
                <w:rFonts w:ascii="Arial" w:hAnsi="Arial"/>
                <w:b/>
                <w:color w:val="FFFFFF"/>
                <w:sz w:val="16"/>
              </w:rPr>
              <w:t>Field</w:t>
            </w:r>
          </w:p>
        </w:tc>
        <w:tc>
          <w:tcPr>
            <w:tcW w:type="dxa" w:w="7272"/>
            <w:vAlign w:val="center"/>
            <w:tcMar>
              <w:top w:w="90" w:type="dxa"/>
              <w:start w:w="110" w:type="dxa"/>
              <w:bottom w:w="90" w:type="dxa"/>
              <w:end w:w="110" w:type="dxa"/>
            </w:tcMar>
            <w:shd w:fill="17324D"/>
          </w:tcPr>
          <w:p>
            <w:pPr>
              <w:spacing w:after="0" w:line="240" w:lineRule="auto"/>
            </w:pPr>
            <w:r>
              <w:rPr>
                <w:rFonts w:ascii="Arial" w:hAnsi="Arial"/>
                <w:b/>
                <w:color w:val="FFFFFF"/>
                <w:sz w:val="16"/>
              </w:rPr>
              <w:t>Value</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Dokument</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ADR-001</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Version</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v2.0</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Status</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Accepted — Architecture Audited</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Sprache</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DE</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Geltungsbereich</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World Engine Version 1.x</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Datum</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2026-09-04</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Autor</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Andrii Drahulskyi</w:t>
            </w:r>
          </w:p>
        </w:tc>
      </w:tr>
    </w:tbl>
    <w:p>
      <w:pPr>
        <w:widowControl/>
        <w:spacing w:after="40"/>
      </w:pPr>
    </w:p>
    <w:p>
      <w:pPr>
        <w:pStyle w:val="Heading2"/>
        <w:keepNext/>
        <w:widowControl/>
      </w:pPr>
      <w:r>
        <w:t>Inhalt</w:t>
      </w:r>
    </w:p>
    <w:p>
      <w:pPr>
        <w:pStyle w:val="ListBullet"/>
        <w:keepLines/>
        <w:widowControl/>
      </w:pPr>
      <w:r>
        <w:t>1 Kontext und Problem</w:t>
      </w:r>
    </w:p>
    <w:p>
      <w:pPr>
        <w:pStyle w:val="ListBullet"/>
        <w:keepLines/>
        <w:widowControl/>
      </w:pPr>
      <w:r>
        <w:t>2 Entscheidung</w:t>
      </w:r>
    </w:p>
    <w:p>
      <w:pPr>
        <w:pStyle w:val="ListBullet"/>
        <w:keepLines/>
        <w:widowControl/>
      </w:pPr>
      <w:r>
        <w:t>3 Umfang, Verantwortung und Grenzen</w:t>
      </w:r>
    </w:p>
    <w:p>
      <w:pPr>
        <w:pStyle w:val="ListBullet"/>
        <w:keepLines/>
        <w:widowControl/>
      </w:pPr>
      <w:r>
        <w:t>4 Verträge und Laufzeitabläufe</w:t>
      </w:r>
    </w:p>
    <w:p>
      <w:pPr>
        <w:pStyle w:val="ListBullet"/>
        <w:keepLines/>
        <w:widowControl/>
      </w:pPr>
      <w:r>
        <w:t>5 Lebenszyklus, Fehler und Wiederherstellung</w:t>
      </w:r>
    </w:p>
    <w:p>
      <w:pPr>
        <w:pStyle w:val="ListBullet"/>
        <w:keepLines/>
        <w:widowControl/>
      </w:pPr>
      <w:r>
        <w:t>6 Sicherheit, Daten und Architekturregeln</w:t>
      </w:r>
    </w:p>
    <w:p>
      <w:pPr>
        <w:pStyle w:val="ListBullet"/>
        <w:keepLines/>
        <w:widowControl/>
      </w:pPr>
      <w:r>
        <w:t>7 Alternativen und Abwägungen</w:t>
      </w:r>
    </w:p>
    <w:p>
      <w:pPr>
        <w:pStyle w:val="ListBullet"/>
        <w:keepLines/>
        <w:widowControl/>
      </w:pPr>
      <w:r>
        <w:t>8 Umsetzung und Prüfung</w:t>
      </w:r>
    </w:p>
    <w:p>
      <w:pPr>
        <w:pStyle w:val="ListBullet"/>
        <w:keepLines/>
        <w:widowControl/>
      </w:pPr>
      <w:r>
        <w:t>9 Nachverfolgbarkeit und Änderungshistorie</w:t>
      </w:r>
    </w:p>
    <w:p>
      <w:pPr>
        <w:widowControl/>
      </w:pPr>
      <w:r>
        <w:br w:type="page"/>
      </w:r>
    </w:p>
    <w:p>
      <w:pPr>
        <w:pStyle w:val="Heading1"/>
        <w:keepNext/>
        <w:widowControl/>
      </w:pPr>
      <w:r>
        <w:t>1 Kontext und Problem</w:t>
      </w:r>
    </w:p>
    <w:p>
      <w:pPr>
        <w:widowControl/>
      </w:pPr>
      <w:r>
        <w:t>World Engine läuft als modularer Monolith im Hauptprozess. Koordination ist für Anwendungsfälle, Simulationszyklen und Ergebnisbehandlung erforderlich, darf Core aber nicht zum Eigentümer der gesamten Anwendung machen.</w:t>
      </w:r>
    </w:p>
    <w:p>
      <w:pPr>
        <w:widowControl/>
      </w:pPr>
      <w:r>
        <w:t>Die frühere Fassung bezeichnete Core als zentrale Lifecycle-Schicht und zeigte unbeschriftete Beziehungen zu Repository, Game Adapter und AI Adapter. Damit wurden statische Abhängigkeit, Laufzeitaufruf, Ereignis und Lifecycle Wiring vermischt und ein God Core ermöglicht.</w:t>
      </w:r>
    </w:p>
    <w:p>
      <w:pPr>
        <w:pStyle w:val="Heading2"/>
        <w:keepNext/>
        <w:widowControl/>
      </w:pPr>
      <w:r>
        <w:t>Außerhalb des Entscheidungsumfangs</w:t>
      </w:r>
    </w:p>
    <w:p>
      <w:pPr>
        <w:pStyle w:val="ListBullet"/>
        <w:keepLines/>
        <w:widowControl/>
      </w:pPr>
      <w:r>
        <w:t>Fachlogik einzelner Module</w:t>
      </w:r>
    </w:p>
    <w:p>
      <w:pPr>
        <w:pStyle w:val="ListBullet"/>
        <w:keepLines/>
        <w:widowControl/>
      </w:pPr>
      <w:r>
        <w:t>Erzeugung des globalen Komponentengraphen</w:t>
      </w:r>
    </w:p>
    <w:p>
      <w:pPr>
        <w:pStyle w:val="ListBullet"/>
        <w:keepLines/>
        <w:widowControl/>
      </w:pPr>
      <w:r>
        <w:t>Physische Persistenz und SQL</w:t>
      </w:r>
    </w:p>
    <w:p>
      <w:pPr>
        <w:pStyle w:val="ListBullet"/>
        <w:keepLines/>
        <w:widowControl/>
      </w:pPr>
      <w:r>
        <w:t>Game SDKs und konkrete AI Provider SDKs</w:t>
      </w:r>
    </w:p>
    <w:p>
      <w:pPr>
        <w:pStyle w:val="Heading1"/>
        <w:keepNext/>
        <w:widowControl/>
      </w:pPr>
      <w:r>
        <w:t>2 Entscheidung</w:t>
      </w:r>
    </w:p>
    <w:p>
      <w:pPr>
        <w:widowControl/>
      </w:pPr>
      <w:r>
        <w:t>Core ist die Application Coordination Boundary. Es führt nur Anwendungsfälle aus, für die Eingang, Ergebnis, Eigentümer und ein expliziter Use Case Contract festgelegt sind.</w:t>
      </w:r>
    </w:p>
    <w:p>
      <w:pPr>
        <w:widowControl/>
      </w:pPr>
      <w:r>
        <w:t>Application Host und Composition Root besitzen Process Composition, Startup, Readiness Aggregation, Shutdown und Recovery auf Anwendungsebene. Diese Aufgaben werden nicht an Core delegiert und nicht über einen globalen Service Locator zugänglich gemacht.</w:t>
      </w:r>
    </w:p>
    <w:p>
      <w:pPr>
        <w:pStyle w:val="Heading2"/>
        <w:keepNext/>
        <w:widowControl/>
      </w:pPr>
      <w:r>
        <w:t>Verbindliche Regeln</w:t>
      </w:r>
    </w:p>
    <w:p>
      <w:pPr>
        <w:pStyle w:val="ListBullet"/>
        <w:keepLines/>
        <w:widowControl/>
      </w:pPr>
      <w:r>
        <w:t>Core steuert den eigenen Coordination Lifecycle, erzeugt aber keine Subsysteme und besitzt nicht deren internen Lifecycle.</w:t>
      </w:r>
    </w:p>
    <w:p>
      <w:pPr>
        <w:pStyle w:val="ListBullet"/>
        <w:keepLines/>
        <w:widowControl/>
      </w:pPr>
      <w:r>
        <w:t>Ein synchroner Aufruf ist nur über einen schmalen Vertrag zulässig, wenn der Anwendungsfall ein unmittelbares typisiertes Ergebnis benötigt.</w:t>
      </w:r>
    </w:p>
    <w:p>
      <w:pPr>
        <w:pStyle w:val="ListBullet"/>
        <w:keepLines/>
        <w:widowControl/>
      </w:pPr>
      <w:r>
        <w:t>Event Engine dient semantischen Ereignissen und entkoppelten Reaktionen, ersetzt aber weder Command noch Query.</w:t>
      </w:r>
    </w:p>
    <w:p>
      <w:pPr>
        <w:pStyle w:val="ListBullet"/>
        <w:keepLines/>
        <w:widowControl/>
      </w:pPr>
      <w:r>
        <w:t>Core stellt weder Module Lookup noch Generic Repository Gateway oder eine universelle API zur Umgehung von Grenzen bereit.</w:t>
      </w:r>
    </w:p>
    <w:p>
      <w:pPr>
        <w:pStyle w:val="Heading1"/>
        <w:keepNext/>
        <w:widowControl/>
      </w:pPr>
      <w:r>
        <w:t>3 Umfang, Verantwortung und Grenzen</w:t>
      </w:r>
    </w:p>
    <w:p>
      <w:pPr>
        <w:widowControl/>
      </w:pPr>
      <w:r>
        <w:t>Die Tabelle legt den Eigentümer jeder Aufgabe und die Semantik der Beziehung fest. Ownership wird nicht aus der Richtung eines Laufzeitaufrufs abgeleitet.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520"/>
            <w:vAlign w:val="center"/>
            <w:tcMar>
              <w:top w:w="90" w:type="dxa"/>
              <w:start w:w="110" w:type="dxa"/>
              <w:bottom w:w="90" w:type="dxa"/>
              <w:end w:w="110" w:type="dxa"/>
            </w:tcMar>
            <w:shd w:fill="17324D"/>
          </w:tcPr>
          <w:p>
            <w:pPr>
              <w:spacing w:after="0" w:line="240" w:lineRule="auto"/>
            </w:pPr>
            <w:r>
              <w:rPr>
                <w:rFonts w:ascii="Arial" w:hAnsi="Arial"/>
                <w:b/>
                <w:color w:val="FFFFFF"/>
                <w:sz w:val="16"/>
              </w:rPr>
              <w:t>Komponente / Grenze</w:t>
            </w:r>
          </w:p>
        </w:tc>
        <w:tc>
          <w:tcPr>
            <w:tcW w:type="dxa" w:w="5472"/>
            <w:vAlign w:val="center"/>
            <w:tcMar>
              <w:top w:w="90" w:type="dxa"/>
              <w:start w:w="110" w:type="dxa"/>
              <w:bottom w:w="90" w:type="dxa"/>
              <w:end w:w="110" w:type="dxa"/>
            </w:tcMar>
            <w:shd w:fill="17324D"/>
          </w:tcPr>
          <w:p>
            <w:pPr>
              <w:spacing w:after="0" w:line="240" w:lineRule="auto"/>
            </w:pPr>
            <w:r>
              <w:rPr>
                <w:rFonts w:ascii="Arial" w:hAnsi="Arial"/>
                <w:b/>
                <w:color w:val="FFFFFF"/>
                <w:sz w:val="16"/>
              </w:rPr>
              <w:t>Verantwortung</w:t>
            </w:r>
          </w:p>
        </w:tc>
        <w:tc>
          <w:tcPr>
            <w:tcW w:type="dxa" w:w="1800"/>
            <w:vAlign w:val="center"/>
            <w:tcMar>
              <w:top w:w="90" w:type="dxa"/>
              <w:start w:w="110" w:type="dxa"/>
              <w:bottom w:w="90" w:type="dxa"/>
              <w:end w:w="110" w:type="dxa"/>
            </w:tcMar>
            <w:shd w:fill="17324D"/>
          </w:tcPr>
          <w:p>
            <w:pPr>
              <w:spacing w:after="0" w:line="240" w:lineRule="auto"/>
            </w:pPr>
            <w:r>
              <w:rPr>
                <w:rFonts w:ascii="Arial" w:hAnsi="Arial"/>
                <w:b/>
                <w:color w:val="FFFFFF"/>
                <w:sz w:val="16"/>
              </w:rPr>
              <w:t>Semantik</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Application Host</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Komposition, Startup, Readiness und Shutdown</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Lifecycle Wiring</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Core</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Use Case Coordination und Simulation Coordination</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Domain Modules</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Fachlogik und Zustand</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Event Engine</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Event Delivery, Retry und Backpressure</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Save Manager</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Save und Restore Orchestration</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Repository</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Persistenzimplementierung</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Game Adapter</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Übersetzung der Game Runtime und Capability Status</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AI Adapter</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Grenze für AI Requests und Validation</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bl>
    <w:p>
      <w:pPr>
        <w:widowControl/>
        <w:spacing w:after="40"/>
      </w:pPr>
    </w:p>
    <w:p>
      <w:pPr>
        <w:pStyle w:val="Heading1"/>
        <w:keepNext/>
        <w:widowControl/>
      </w:pPr>
      <w:r>
        <w:t>4 Verträge und Laufzeitabläufe</w:t>
      </w:r>
    </w:p>
    <w:p>
      <w:pPr>
        <w:widowControl/>
      </w:pPr>
      <w:r>
        <w:t>Jeder Ablauf benennt die Art der Beziehung und erzeugt keine zusätzlichen versteckten Abhängigkeiten.</w:t>
      </w:r>
    </w:p>
    <w:p>
      <w:pPr>
        <w:pStyle w:val="CodePath"/>
        <w:widowControl/>
      </w:pPr>
      <w:r>
        <w:t>Statische Abhängigkeit: Core hängt vom Event Engine Contract, Scheduler Control Contract und nur von ausdrücklich freigegebenen Use Case Ports ab.</w:t>
      </w:r>
    </w:p>
    <w:p>
      <w:pPr>
        <w:pStyle w:val="CodePath"/>
        <w:widowControl/>
      </w:pPr>
      <w:r>
        <w:t>Laufzeitaufruf: Game Adapter ruft den Game Ingress Port auf; Core ruft bei Bedarf einen vom Adapter implementierten Game Output oder Capability Port auf.</w:t>
      </w:r>
    </w:p>
    <w:p>
      <w:pPr>
        <w:pStyle w:val="CodePath"/>
        <w:widowControl/>
      </w:pPr>
      <w:r>
        <w:t>Event Relation: Scheduler publiziert AutosaveDue über Event Engine; Save Manager abonniert das Ereignis gemäß Autosave Policy.</w:t>
      </w:r>
    </w:p>
    <w:p>
      <w:pPr>
        <w:pStyle w:val="CodePath"/>
        <w:widowControl/>
      </w:pPr>
      <w:r>
        <w:t>Readiness Data Flow: Komponenten liefern Evidence an den Host; der Host bestimmt Ready, Degraded, Startup Failed oder Recovery Required für die Anwendung.</w:t>
      </w:r>
    </w:p>
    <w:p>
      <w:pPr>
        <w:pStyle w:val="CodePath"/>
        <w:widowControl/>
      </w:pPr>
      <w:r>
        <w:t>AI Runtime Path: Ein Approved Consumer ruft AI Adapter auf. Core ist kein generischer AI Consumer.</w:t>
      </w:r>
    </w:p>
    <w:p>
      <w:pPr>
        <w:pStyle w:val="Heading1"/>
        <w:keepNext/>
        <w:widowControl/>
      </w:pPr>
      <w:r>
        <w:t>5 Lebenszyklus, Fehler und Wiederherstellung</w:t>
      </w:r>
    </w:p>
    <w:p>
      <w:pPr>
        <w:pStyle w:val="ListBullet"/>
        <w:keepLines/>
        <w:widowControl/>
      </w:pPr>
      <w:r>
        <w:t>Der Host erzeugt Core nach Prüfung der Konfiguration und der verpflichtenden Infrastrukturabhängigkeiten.</w:t>
      </w:r>
    </w:p>
    <w:p>
      <w:pPr>
        <w:pStyle w:val="ListBullet"/>
        <w:keepLines/>
        <w:widowControl/>
      </w:pPr>
      <w:r>
        <w:t>Core wird nur für den eigenen Koordinationsbereich Ready und liefert Evidence statt eines globalen Anwendungsstatus.</w:t>
      </w:r>
    </w:p>
    <w:p>
      <w:pPr>
        <w:pStyle w:val="ListBullet"/>
        <w:keepLines/>
        <w:widowControl/>
      </w:pPr>
      <w:r>
        <w:t>Der Ausfall eines optionalen Subsystems führt zu Degraded Capability; eine verpflichtende Abhängigkeit kann Startup Failed auslösen.</w:t>
      </w:r>
    </w:p>
    <w:p>
      <w:pPr>
        <w:pStyle w:val="ListBullet"/>
        <w:keepLines/>
        <w:widowControl/>
      </w:pPr>
      <w:r>
        <w:t>Shutdown wird vom Host initiiert. Core beendet aktive Koordinationsvorgänge und liefert ein typisiertes Stop-Ergebnis.</w:t>
      </w:r>
    </w:p>
    <w:p>
      <w:pPr>
        <w:pStyle w:val="ListBullet"/>
        <w:keepLines/>
        <w:widowControl/>
      </w:pPr>
      <w:r>
        <w:t>Process Level Recovery bleibt beim Host; Core repariert fremden Zustand nicht durch Verletzung von Ownership.</w:t>
      </w:r>
    </w:p>
    <w:p>
      <w:pPr>
        <w:pStyle w:val="Heading1"/>
        <w:keepNext/>
        <w:widowControl/>
      </w:pPr>
      <w:r>
        <w:t>6 Sicherheit, Daten und Architekturregeln</w:t>
      </w:r>
    </w:p>
    <w:p>
      <w:pPr>
        <w:pStyle w:val="Heading2"/>
        <w:keepNext/>
        <w:widowControl/>
      </w:pPr>
      <w:r>
        <w:t>Verbindliche Architekturregeln</w:t>
      </w:r>
    </w:p>
    <w:p>
      <w:pPr>
        <w:pStyle w:val="ListBullet"/>
        <w:keepLines/>
        <w:widowControl/>
      </w:pPr>
      <w:r>
        <w:t>Es gibt keine Zyklen in Implementation Dependencies.</w:t>
      </w:r>
    </w:p>
    <w:p>
      <w:pPr>
        <w:pStyle w:val="ListBullet"/>
        <w:keepLines/>
        <w:widowControl/>
      </w:pPr>
      <w:r>
        <w:t>Core importiert keine konkreten Adapter, Provider SDKs, SQLite Types oder Domain Internals.</w:t>
      </w:r>
    </w:p>
    <w:p>
      <w:pPr>
        <w:pStyle w:val="ListBullet"/>
        <w:keepLines/>
        <w:widowControl/>
      </w:pPr>
      <w:r>
        <w:t>Jeder Cross Module Contract besitzt einen Eigentümer und einen Grund für synchrone oder ereignisbasierte Kommunikation.</w:t>
      </w:r>
    </w:p>
    <w:p>
      <w:pPr>
        <w:pStyle w:val="ListBullet"/>
        <w:keepLines/>
        <w:widowControl/>
      </w:pPr>
      <w:r>
        <w:t>Service Locator und globale mutable Module Registry sind verboten.</w:t>
      </w:r>
    </w:p>
    <w:p>
      <w:pPr>
        <w:pStyle w:val="ListBullet"/>
        <w:keepLines/>
        <w:widowControl/>
      </w:pPr>
      <w:r>
        <w:t>Koordination überträgt Core keine Hoheit über Fachzustand.</w:t>
      </w:r>
    </w:p>
    <w:p>
      <w:pPr>
        <w:pStyle w:val="ListBullet"/>
        <w:keepLines/>
        <w:widowControl/>
      </w:pPr>
      <w:r>
        <w:t>Jeder Architekturpfeil benennt seine Semantik.</w:t>
      </w:r>
    </w:p>
    <w:p>
      <w:pPr>
        <w:pStyle w:val="Heading1"/>
        <w:keepNext/>
        <w:widowControl/>
      </w:pPr>
      <w:r>
        <w:t>7 Alternativen und Abwägungen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880"/>
            <w:vAlign w:val="center"/>
            <w:tcMar>
              <w:top w:w="90" w:type="dxa"/>
              <w:start w:w="110" w:type="dxa"/>
              <w:bottom w:w="90" w:type="dxa"/>
              <w:end w:w="110" w:type="dxa"/>
            </w:tcMar>
            <w:shd w:fill="17324D"/>
          </w:tcPr>
          <w:p>
            <w:pPr>
              <w:spacing w:after="0" w:line="240" w:lineRule="auto"/>
            </w:pPr>
            <w:r>
              <w:rPr>
                <w:rFonts w:ascii="Arial" w:hAnsi="Arial"/>
                <w:b/>
                <w:color w:val="FFFFFF"/>
                <w:sz w:val="16"/>
              </w:rPr>
              <w:t>Alternative</w:t>
            </w:r>
          </w:p>
        </w:tc>
        <w:tc>
          <w:tcPr>
            <w:tcW w:type="dxa" w:w="1728"/>
            <w:vAlign w:val="center"/>
            <w:tcMar>
              <w:top w:w="90" w:type="dxa"/>
              <w:start w:w="110" w:type="dxa"/>
              <w:bottom w:w="90" w:type="dxa"/>
              <w:end w:w="110" w:type="dxa"/>
            </w:tcMar>
            <w:shd w:fill="17324D"/>
          </w:tcPr>
          <w:p>
            <w:pPr>
              <w:spacing w:after="0" w:line="240" w:lineRule="auto"/>
            </w:pPr>
            <w:r>
              <w:rPr>
                <w:rFonts w:ascii="Arial" w:hAnsi="Arial"/>
                <w:b/>
                <w:color w:val="FFFFFF"/>
                <w:sz w:val="16"/>
              </w:rPr>
              <w:t>Ergebnis</w:t>
            </w:r>
          </w:p>
        </w:tc>
        <w:tc>
          <w:tcPr>
            <w:tcW w:type="dxa" w:w="5184"/>
            <w:vAlign w:val="center"/>
            <w:tcMar>
              <w:top w:w="90" w:type="dxa"/>
              <w:start w:w="110" w:type="dxa"/>
              <w:bottom w:w="90" w:type="dxa"/>
              <w:end w:w="110" w:type="dxa"/>
            </w:tcMar>
            <w:shd w:fill="17324D"/>
          </w:tcPr>
          <w:p>
            <w:pPr>
              <w:spacing w:after="0" w:line="240" w:lineRule="auto"/>
            </w:pPr>
            <w:r>
              <w:rPr>
                <w:rFonts w:ascii="Arial" w:hAnsi="Arial"/>
                <w:b/>
                <w:color w:val="FFFFFF"/>
                <w:sz w:val="16"/>
              </w:rPr>
              <w:t>Begründung</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Monolithic Core</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Vermischt Fachlogik, Integrationen und Persistenz.</w:t>
            </w:r>
          </w:p>
        </w:tc>
      </w:tr>
      <w:tr>
        <w:trPr>
          <w:cantSplit/>
        </w:trPr>
        <w:tc>
          <w:tcPr>
            <w:tcW w:type="dxa" w:w="2880"/>
            <w:vAlign w:val="center"/>
            <w:tcMar>
              <w:top w:w="90" w:type="dxa"/>
              <w:start w:w="110" w:type="dxa"/>
              <w:bottom w:w="90" w:type="dxa"/>
              <w:end w:w="110" w:type="dxa"/>
            </w:tcMar>
            <w:shd w:fill="F3F7FA"/>
          </w:tcPr>
          <w:p>
            <w:pPr>
              <w:spacing w:after="0" w:line="240" w:lineRule="auto"/>
            </w:pPr>
            <w:r>
              <w:rPr>
                <w:rFonts w:ascii="Arial" w:hAnsi="Arial"/>
                <w:b w:val="0"/>
                <w:color w:val="000000"/>
                <w:sz w:val="16"/>
              </w:rPr>
              <w:t>Event Only Architecture</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3F7FA"/>
          </w:tcPr>
          <w:p>
            <w:pPr>
              <w:spacing w:after="0" w:line="240" w:lineRule="auto"/>
            </w:pPr>
            <w:r>
              <w:rPr>
                <w:rFonts w:ascii="Arial" w:hAnsi="Arial"/>
                <w:b w:val="0"/>
                <w:color w:val="000000"/>
                <w:sz w:val="16"/>
              </w:rPr>
              <w:t>Eignet sich nicht für Anfragen mit unmittelbarem Ergebnis.</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Freie direkte Aufrufe</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Erzeugen versteckte Kopplung und Zyklen.</w:t>
            </w:r>
          </w:p>
        </w:tc>
      </w:tr>
      <w:tr>
        <w:trPr>
          <w:cantSplit/>
        </w:trPr>
        <w:tc>
          <w:tcPr>
            <w:tcW w:type="dxa" w:w="2880"/>
            <w:vAlign w:val="center"/>
            <w:tcMar>
              <w:top w:w="90" w:type="dxa"/>
              <w:start w:w="110" w:type="dxa"/>
              <w:bottom w:w="90" w:type="dxa"/>
              <w:end w:w="110" w:type="dxa"/>
            </w:tcMar>
            <w:shd w:fill="F3F7FA"/>
          </w:tcPr>
          <w:p>
            <w:pPr>
              <w:spacing w:after="0" w:line="240" w:lineRule="auto"/>
            </w:pPr>
            <w:r>
              <w:rPr>
                <w:rFonts w:ascii="Arial" w:hAnsi="Arial"/>
                <w:b w:val="0"/>
                <w:color w:val="000000"/>
                <w:sz w:val="16"/>
              </w:rPr>
              <w:t>Distributed Services</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Zurückgestellt</w:t>
            </w:r>
          </w:p>
        </w:tc>
        <w:tc>
          <w:tcPr>
            <w:tcW w:type="dxa" w:w="5184"/>
            <w:vAlign w:val="center"/>
            <w:tcMar>
              <w:top w:w="90" w:type="dxa"/>
              <w:start w:w="110" w:type="dxa"/>
              <w:bottom w:w="90" w:type="dxa"/>
              <w:end w:w="110" w:type="dxa"/>
            </w:tcMar>
            <w:shd w:fill="F3F7FA"/>
          </w:tcPr>
          <w:p>
            <w:pPr>
              <w:spacing w:after="0" w:line="240" w:lineRule="auto"/>
            </w:pPr>
            <w:r>
              <w:rPr>
                <w:rFonts w:ascii="Arial" w:hAnsi="Arial"/>
                <w:b w:val="0"/>
                <w:color w:val="000000"/>
                <w:sz w:val="16"/>
              </w:rPr>
              <w:t>Für das lokale v1.x nicht gerechtfertigt und operativ komplex.</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Modularer Monolith mit expliziten Ports</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Gewählt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Bietet Isolation ohne Netzwerkkomplexität.</w:t>
            </w:r>
          </w:p>
        </w:tc>
      </w:tr>
    </w:tbl>
    <w:p>
      <w:pPr>
        <w:widowControl/>
        <w:spacing w:after="40"/>
      </w:pPr>
    </w:p>
    <w:p>
      <w:pPr>
        <w:pStyle w:val="Heading2"/>
        <w:keepNext/>
        <w:widowControl/>
      </w:pPr>
      <w:r>
        <w:t>Akzeptierte Abwägungen</w:t>
      </w:r>
    </w:p>
    <w:p>
      <w:pPr>
        <w:pStyle w:val="ListBullet"/>
        <w:keepLines/>
        <w:widowControl/>
      </w:pPr>
      <w:r>
        <w:t>Explizite Verträge erfordern mehr Entwurfsdisziplin und Integration Tests.</w:t>
      </w:r>
    </w:p>
    <w:p>
      <w:pPr>
        <w:pStyle w:val="ListBullet"/>
        <w:keepLines/>
        <w:widowControl/>
      </w:pPr>
      <w:r>
        <w:t>Zusätzliche Adapter Boundaries erzeugen geringen Laufzeitaufwand, der für Austauschbarkeit und Testbarkeit akzeptiert wird.</w:t>
      </w:r>
    </w:p>
    <w:p>
      <w:pPr>
        <w:pStyle w:val="Heading1"/>
        <w:keepNext/>
        <w:widowControl/>
      </w:pPr>
      <w:r>
        <w:t>8 Umsetzung und Prüfung</w:t>
      </w:r>
    </w:p>
    <w:p>
      <w:pPr>
        <w:pStyle w:val="Heading2"/>
        <w:keepNext/>
        <w:widowControl/>
      </w:pPr>
      <w:r>
        <w:t>Anforderungen an die Umsetzung</w:t>
      </w:r>
    </w:p>
    <w:p>
      <w:pPr>
        <w:pStyle w:val="ListBullet"/>
        <w:keepLines/>
        <w:widowControl/>
      </w:pPr>
      <w:r>
        <w:t>Composition Root registriert Implementierungen über Schnittstellen.</w:t>
      </w:r>
    </w:p>
    <w:p>
      <w:pPr>
        <w:pStyle w:val="ListBullet"/>
        <w:keepLines/>
        <w:widowControl/>
      </w:pPr>
      <w:r>
        <w:t>Architecture Tests verbieten Referenzen von Core auf konkrete Integration und Persistence Packages.</w:t>
      </w:r>
    </w:p>
    <w:p>
      <w:pPr>
        <w:pStyle w:val="ListBullet"/>
        <w:keepLines/>
        <w:widowControl/>
      </w:pPr>
      <w:r>
        <w:t>Use Case Contracts liefern typisierten Success oder Failure und unterstützen Cancellation.</w:t>
      </w:r>
    </w:p>
    <w:p>
      <w:pPr>
        <w:pStyle w:val="ListBullet"/>
        <w:keepLines/>
        <w:widowControl/>
      </w:pPr>
      <w:r>
        <w:t>Die Readiness API trennt Component Evidence und Application Outcome.</w:t>
      </w:r>
    </w:p>
    <w:p>
      <w:pPr>
        <w:pStyle w:val="ListBullet"/>
        <w:keepLines/>
        <w:widowControl/>
      </w:pPr>
      <w:r>
        <w:t>Ein neuer Cross Module Port benötigt Eigentümer, Version und ADR Review.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3240"/>
            <w:vAlign w:val="center"/>
            <w:tcMar>
              <w:top w:w="90" w:type="dxa"/>
              <w:start w:w="110" w:type="dxa"/>
              <w:bottom w:w="90" w:type="dxa"/>
              <w:end w:w="110" w:type="dxa"/>
            </w:tcMar>
            <w:shd w:fill="17324D"/>
          </w:tcPr>
          <w:p>
            <w:pPr>
              <w:spacing w:after="0" w:line="240" w:lineRule="auto"/>
            </w:pPr>
            <w:r>
              <w:rPr>
                <w:rFonts w:ascii="Arial" w:hAnsi="Arial"/>
                <w:b/>
                <w:color w:val="FFFFFF"/>
                <w:sz w:val="16"/>
              </w:rPr>
              <w:t>Prüfung</w:t>
            </w:r>
          </w:p>
        </w:tc>
        <w:tc>
          <w:tcPr>
            <w:tcW w:type="dxa" w:w="6552"/>
            <w:vAlign w:val="center"/>
            <w:tcMar>
              <w:top w:w="90" w:type="dxa"/>
              <w:start w:w="110" w:type="dxa"/>
              <w:bottom w:w="90" w:type="dxa"/>
              <w:end w:w="110" w:type="dxa"/>
            </w:tcMar>
            <w:shd w:fill="17324D"/>
          </w:tcPr>
          <w:p>
            <w:pPr>
              <w:spacing w:after="0" w:line="240" w:lineRule="auto"/>
            </w:pPr>
            <w:r>
              <w:rPr>
                <w:rFonts w:ascii="Arial" w:hAnsi="Arial"/>
                <w:b/>
                <w:color w:val="FFFFFF"/>
                <w:sz w:val="16"/>
              </w:rPr>
              <w:t>PASS Bedingung</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Dependency Graph</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Keine Zyklen und keine Concrete Imports</w:t>
            </w:r>
          </w:p>
        </w:tc>
      </w:tr>
      <w:tr>
        <w:trPr>
          <w:cantSplit/>
        </w:trPr>
        <w:tc>
          <w:tcPr>
            <w:tcW w:type="dxa" w:w="3240"/>
            <w:vAlign w:val="center"/>
            <w:tcMar>
              <w:top w:w="90" w:type="dxa"/>
              <w:start w:w="110" w:type="dxa"/>
              <w:bottom w:w="90" w:type="dxa"/>
              <w:end w:w="110" w:type="dxa"/>
            </w:tcMar>
            <w:shd w:fill="F3F7FA"/>
          </w:tcPr>
          <w:p>
            <w:pPr>
              <w:spacing w:after="0" w:line="240" w:lineRule="auto"/>
            </w:pPr>
            <w:r>
              <w:rPr>
                <w:rFonts w:ascii="Arial" w:hAnsi="Arial"/>
                <w:b w:val="0"/>
                <w:color w:val="000000"/>
                <w:sz w:val="16"/>
              </w:rPr>
              <w:t>Core Tests</w:t>
            </w:r>
          </w:p>
        </w:tc>
        <w:tc>
          <w:tcPr>
            <w:tcW w:type="dxa" w:w="65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Anwendungsfälle laufen mit Test Doubles</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Lifecycle Tests</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Host und Core States werden getrennt geprüft</w:t>
            </w:r>
          </w:p>
        </w:tc>
      </w:tr>
      <w:tr>
        <w:trPr>
          <w:cantSplit/>
        </w:trPr>
        <w:tc>
          <w:tcPr>
            <w:tcW w:type="dxa" w:w="3240"/>
            <w:vAlign w:val="center"/>
            <w:tcMar>
              <w:top w:w="90" w:type="dxa"/>
              <w:start w:w="110" w:type="dxa"/>
              <w:bottom w:w="90" w:type="dxa"/>
              <w:end w:w="110" w:type="dxa"/>
            </w:tcMar>
            <w:shd w:fill="F3F7FA"/>
          </w:tcPr>
          <w:p>
            <w:pPr>
              <w:spacing w:after="0" w:line="240" w:lineRule="auto"/>
            </w:pPr>
            <w:r>
              <w:rPr>
                <w:rFonts w:ascii="Arial" w:hAnsi="Arial"/>
                <w:b w:val="0"/>
                <w:color w:val="000000"/>
                <w:sz w:val="16"/>
              </w:rPr>
              <w:t>Contract Review</w:t>
            </w:r>
          </w:p>
        </w:tc>
        <w:tc>
          <w:tcPr>
            <w:tcW w:type="dxa" w:w="65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 und Semantik sind definiert</w:t>
            </w:r>
          </w:p>
        </w:tc>
      </w:tr>
    </w:tbl>
    <w:p>
      <w:pPr>
        <w:widowControl/>
        <w:spacing w:after="40"/>
      </w:pPr>
    </w:p>
    <w:p>
      <w:pPr>
        <w:pStyle w:val="Heading1"/>
        <w:keepNext/>
        <w:widowControl/>
      </w:pPr>
      <w:r>
        <w:t>9 Nachverfolgbarkeit und Änderungshistorie</w:t>
      </w:r>
    </w:p>
    <w:p>
      <w:pPr>
        <w:pStyle w:val="Heading2"/>
        <w:keepNext/>
        <w:widowControl/>
      </w:pPr>
      <w:r>
        <w:t>Verknüpfte Dokumente</w:t>
      </w:r>
    </w:p>
    <w:p>
      <w:pPr>
        <w:pStyle w:val="ListBullet"/>
        <w:keepLines/>
        <w:widowControl/>
      </w:pPr>
      <w:r>
        <w:t>ADR-008</w:t>
      </w:r>
    </w:p>
    <w:p>
      <w:pPr>
        <w:pStyle w:val="ListBullet"/>
        <w:keepLines/>
        <w:widowControl/>
      </w:pPr>
      <w:r>
        <w:t>ARCH-001 v1.4</w:t>
      </w:r>
    </w:p>
    <w:p>
      <w:pPr>
        <w:pStyle w:val="ListBullet"/>
        <w:keepLines/>
        <w:widowControl/>
      </w:pPr>
      <w:r>
        <w:t>ARCH-004 v1.4</w:t>
      </w:r>
    </w:p>
    <w:p>
      <w:pPr>
        <w:pStyle w:val="ListBullet"/>
        <w:keepLines/>
        <w:widowControl/>
      </w:pPr>
      <w:r>
        <w:t>ARCH-005 v1.4</w:t>
      </w:r>
    </w:p>
    <w:p>
      <w:pPr>
        <w:pStyle w:val="ListBullet"/>
        <w:keepLines/>
        <w:widowControl/>
      </w:pPr>
      <w:r>
        <w:t>MOD-001 v1.2</w:t>
      </w:r>
    </w:p>
    <w:p>
      <w:pPr>
        <w:pStyle w:val="ListBullet"/>
        <w:keepLines/>
        <w:widowControl/>
      </w:pPr>
      <w:r>
        <w:t>AUDIT-007</w:t>
      </w:r>
    </w:p>
    <w:p>
      <w:pPr>
        <w:pStyle w:val="ListBullet"/>
        <w:keepLines/>
        <w:widowControl/>
      </w:pPr>
      <w:r>
        <w:t>AUDIT-028</w:t>
      </w:r>
    </w:p>
    <w:p>
      <w:pPr>
        <w:pStyle w:val="Heading2"/>
        <w:keepNext/>
        <w:widowControl/>
      </w:pPr>
      <w:r>
        <w:t>Änderungshistorie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1152"/>
            <w:vAlign w:val="center"/>
            <w:tcMar>
              <w:top w:w="90" w:type="dxa"/>
              <w:start w:w="110" w:type="dxa"/>
              <w:bottom w:w="90" w:type="dxa"/>
              <w:end w:w="110" w:type="dxa"/>
            </w:tcMar>
            <w:shd w:fill="17324D"/>
          </w:tcPr>
          <w:p>
            <w:pPr>
              <w:spacing w:after="0" w:line="240" w:lineRule="auto"/>
            </w:pPr>
            <w:r>
              <w:rPr>
                <w:rFonts w:ascii="Arial" w:hAnsi="Arial"/>
                <w:b/>
                <w:color w:val="FFFFFF"/>
                <w:sz w:val="16"/>
              </w:rPr>
              <w:t>Version</w:t>
            </w:r>
          </w:p>
        </w:tc>
        <w:tc>
          <w:tcPr>
            <w:tcW w:type="dxa" w:w="1728"/>
            <w:vAlign w:val="center"/>
            <w:tcMar>
              <w:top w:w="90" w:type="dxa"/>
              <w:start w:w="110" w:type="dxa"/>
              <w:bottom w:w="90" w:type="dxa"/>
              <w:end w:w="110" w:type="dxa"/>
            </w:tcMar>
            <w:shd w:fill="17324D"/>
          </w:tcPr>
          <w:p>
            <w:pPr>
              <w:spacing w:after="0" w:line="240" w:lineRule="auto"/>
            </w:pPr>
            <w:r>
              <w:rPr>
                <w:rFonts w:ascii="Arial" w:hAnsi="Arial"/>
                <w:b/>
                <w:color w:val="FFFFFF"/>
                <w:sz w:val="16"/>
              </w:rPr>
              <w:t>Datum</w:t>
            </w:r>
          </w:p>
        </w:tc>
        <w:tc>
          <w:tcPr>
            <w:tcW w:type="dxa" w:w="6912"/>
            <w:vAlign w:val="center"/>
            <w:tcMar>
              <w:top w:w="90" w:type="dxa"/>
              <w:start w:w="110" w:type="dxa"/>
              <w:bottom w:w="90" w:type="dxa"/>
              <w:end w:w="110" w:type="dxa"/>
            </w:tcMar>
            <w:shd w:fill="17324D"/>
          </w:tcPr>
          <w:p>
            <w:pPr>
              <w:spacing w:after="0" w:line="240" w:lineRule="auto"/>
            </w:pPr>
            <w:r>
              <w:rPr>
                <w:rFonts w:ascii="Arial" w:hAnsi="Arial"/>
                <w:b/>
                <w:color w:val="FFFFFF"/>
                <w:sz w:val="16"/>
              </w:rPr>
              <w:t>Änderung</w:t>
            </w:r>
          </w:p>
        </w:tc>
      </w:tr>
      <w:tr>
        <w:trPr>
          <w:cantSplit/>
        </w:trPr>
        <w:tc>
          <w:tcPr>
            <w:tcW w:type="dxa" w:w="11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v1.0</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2026-08-12</w:t>
            </w:r>
          </w:p>
        </w:tc>
        <w:tc>
          <w:tcPr>
            <w:tcW w:type="dxa" w:w="6912"/>
            <w:vAlign w:val="center"/>
            <w:tcMar>
              <w:top w:w="90" w:type="dxa"/>
              <w:start w:w="110" w:type="dxa"/>
              <w:bottom w:w="90" w:type="dxa"/>
              <w:end w:w="110" w:type="dxa"/>
            </w:tcMar>
            <w:shd w:fill="FFFFFF"/>
          </w:tcPr>
          <w:p>
            <w:pPr>
              <w:spacing w:after="0" w:line="240" w:lineRule="auto"/>
            </w:pPr>
            <w:r>
              <w:rPr>
                <w:rFonts w:ascii="Arial" w:hAnsi="Arial"/>
                <w:b w:val="0"/>
                <w:color w:val="000000"/>
                <w:sz w:val="16"/>
              </w:rPr>
              <w:t>Historical complete edition</w:t>
            </w:r>
          </w:p>
        </w:tc>
      </w:tr>
      <w:tr>
        <w:trPr>
          <w:cantSplit/>
        </w:trPr>
        <w:tc>
          <w:tcPr>
            <w:tcW w:type="dxa" w:w="11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v2.0</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2026-09-04</w:t>
            </w:r>
          </w:p>
        </w:tc>
        <w:tc>
          <w:tcPr>
            <w:tcW w:type="dxa" w:w="691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Vollständige konsolidierte Fassung erstellt. Semantische Korrekturen sind in den Haupttext integriert; wiederholte Titelblöcke, mehrdeutige Diagramme und zu dichte Tabellen der alten Fassung wurden entfernt.</w:t>
            </w:r>
          </w:p>
        </w:tc>
      </w:tr>
    </w:tbl>
    <w:p>
      <w:pPr>
        <w:widowControl/>
        <w:spacing w:after="40"/>
      </w:pPr>
    </w:p>
    <w:sectPr w:rsidR="00FC693F" w:rsidRPr="0006063C" w:rsidSect="00034616">
      <w:headerReference w:type="default" r:id="rId9"/>
      <w:footerReference w:type="default" r:id="rId10"/>
      <w:pgSz w:w="11906" w:h="16838"/>
      <w:pgMar w:top="907" w:right="1020" w:bottom="907"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ADR-001   DE   v2.0   </w:t>
    </w:r>
    <w:r>
      <w:rPr>
        <w:rFonts w:ascii="Arial" w:hAnsi="Arial"/>
        <w:sz w:val="16"/>
      </w:rPr>
      <w:fldChar w:fldCharType="begin"/>
      <w:instrText xml:space="preserve"> PAGE </w:instrText>
      <w:fldChar w:fldCharType="separate"/>
      <w:t>1</w:t>
      <w:fldChar w:fldCharType="end"/>
    </w:r>
    <w:r>
      <w:rPr>
        <w:sz w:val="16"/>
      </w:rPr>
      <w:t xml:space="preserve"> / </w:t>
    </w:r>
    <w:r>
      <w:rPr>
        <w:rFonts w:ascii="Arial" w:hAnsi="Arial"/>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World Engine   ADR-001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eastAsia="Arial"/>
      <w:b w:val="0"/>
      <w:i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80"/>
      <w:contextualSpacing/>
      <w:jc w:val="center"/>
    </w:pPr>
    <w:rPr>
      <w:rFonts w:asciiTheme="majorHAnsi" w:eastAsiaTheme="majorEastAsia" w:hAnsiTheme="majorHAnsi" w:cstheme="majorBidi" w:ascii="Arial" w:hAnsi="Arial" w:eastAsia="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Arial" w:hAnsi="Arial" w:eastAsia="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Arial" w:hAnsi="Arial" w:eastAsia="Arial"/>
      <w:b w:val="0"/>
      <w:i w:val="0"/>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keepLines/>
      <w:spacing w:before="40" w:after="60"/>
      <w:ind w:left="312"/>
    </w:pPr>
    <w:rPr>
      <w:rFonts w:ascii="Consolas" w:hAnsi="Consolas" w:eastAsia="Consolas"/>
      <w:b w:val="0"/>
      <w:i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ADR-001 Core Architektur</dc:title>
  <dc:subject>World Engine architecture decision v2.0</dc:subject>
  <dc:creator>Andrii Drahulskyi</dc:creator>
  <cp:keywords>World Engine, ADR, architecture, audited, consolidated</cp:keywords>
  <dc:description>Full consolidated architecture-audited edition</dc:description>
  <cp:lastModifiedBy/>
  <cp:revision>1</cp:revision>
  <dcterms:created xsi:type="dcterms:W3CDTF">2013-12-23T23:15:00Z</dcterms:created>
  <dcterms:modified xsi:type="dcterms:W3CDTF">2013-12-23T23:15:00Z</dcterms:modified>
  <cp:category/>
</cp:coreProperties>
</file>