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widowControl/>
        <w:spacing w:after="100"/>
        <w:jc w:val="center"/>
      </w:pPr>
      <w:r>
        <w:rPr>
          <w:rFonts w:ascii="Arial" w:hAnsi="Arial"/>
          <w:b/>
          <w:color w:val="17324D"/>
          <w:sz w:val="18"/>
        </w:rPr>
        <w:t>ARCHITECTURE DECISION RECORD</w:t>
      </w:r>
    </w:p>
    <w:p>
      <w:pPr>
        <w:pStyle w:val="Title"/>
        <w:widowControl/>
      </w:pPr>
      <w:r>
        <w:t>ADR 004 Локальный искусственный интеллект</w:t>
      </w:r>
    </w:p>
    <w:p>
      <w:pPr>
        <w:pStyle w:val="Subtitle"/>
        <w:widowControl/>
      </w:pPr>
      <w:r>
        <w:t>World Engine архитектурное решение</w:t>
      </w:r>
    </w:p>
    <w:p>
      <w:pPr>
        <w:pStyle w:val="Heading2"/>
        <w:keepNext/>
        <w:widowControl/>
      </w:pPr>
      <w:r>
        <w:t>Краткое решение</w:t>
      </w:r>
    </w:p>
    <w:p>
      <w:pPr>
        <w:widowControl/>
        <w:spacing w:after="160"/>
      </w:pPr>
      <w:r>
        <w:t>AI является заменяемой неавторитетной capability за AI Adapter. Канонический путь проходит от Approved Consumer через AI Adapter и Context Manager к Provider Abstraction. Host управляет процессом provider и вычисляет готовность приложения.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33"/>
        <w:gridCol w:w="4933"/>
      </w:tblGrid>
      <w:tr>
        <w:trPr>
          <w:cantSplit/>
          <w:tblHeader w:val="true"/>
        </w:trPr>
        <w:tc>
          <w:tcPr>
            <w:tcW w:type="dxa" w:w="25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7324D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16"/>
              </w:rPr>
              <w:t>Поле</w:t>
            </w:r>
          </w:p>
        </w:tc>
        <w:tc>
          <w:tcPr>
            <w:tcW w:type="dxa" w:w="72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7324D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16"/>
              </w:rPr>
              <w:t>Значение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6"/>
              </w:rPr>
              <w:t>Документ</w:t>
            </w:r>
          </w:p>
        </w:tc>
        <w:tc>
          <w:tcPr>
            <w:tcW w:type="dxa" w:w="72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6"/>
              </w:rPr>
              <w:t>ADR-004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7FA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6"/>
              </w:rPr>
              <w:t>Версия</w:t>
            </w:r>
          </w:p>
        </w:tc>
        <w:tc>
          <w:tcPr>
            <w:tcW w:type="dxa" w:w="72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7FA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6"/>
              </w:rPr>
              <w:t>v2.0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6"/>
              </w:rPr>
              <w:t>Статус</w:t>
            </w:r>
          </w:p>
        </w:tc>
        <w:tc>
          <w:tcPr>
            <w:tcW w:type="dxa" w:w="72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6"/>
              </w:rPr>
              <w:t>Accepted — Architecture Audited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7FA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6"/>
              </w:rPr>
              <w:t>Язык</w:t>
            </w:r>
          </w:p>
        </w:tc>
        <w:tc>
          <w:tcPr>
            <w:tcW w:type="dxa" w:w="72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7FA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6"/>
              </w:rPr>
              <w:t>RU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6"/>
              </w:rPr>
              <w:t>Область</w:t>
            </w:r>
          </w:p>
        </w:tc>
        <w:tc>
          <w:tcPr>
            <w:tcW w:type="dxa" w:w="72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6"/>
              </w:rPr>
              <w:t>World Engine Version 1.x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7FA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6"/>
              </w:rPr>
              <w:t>Дата</w:t>
            </w:r>
          </w:p>
        </w:tc>
        <w:tc>
          <w:tcPr>
            <w:tcW w:type="dxa" w:w="72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7FA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6"/>
              </w:rPr>
              <w:t>2026-09-04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6"/>
              </w:rPr>
              <w:t>Автор</w:t>
            </w:r>
          </w:p>
        </w:tc>
        <w:tc>
          <w:tcPr>
            <w:tcW w:type="dxa" w:w="72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6"/>
              </w:rPr>
              <w:t>Andrii Drahulskyi</w:t>
            </w:r>
          </w:p>
        </w:tc>
      </w:tr>
    </w:tbl>
    <w:p>
      <w:pPr>
        <w:widowControl/>
        <w:spacing w:after="40"/>
      </w:pPr>
    </w:p>
    <w:p>
      <w:pPr>
        <w:pStyle w:val="Heading2"/>
        <w:keepNext/>
        <w:widowControl/>
      </w:pPr>
      <w:r>
        <w:t>Содержание</w:t>
      </w:r>
    </w:p>
    <w:p>
      <w:pPr>
        <w:pStyle w:val="ListBullet"/>
        <w:keepLines/>
        <w:widowControl/>
      </w:pPr>
      <w:r>
        <w:t>1 Контекст и проблема</w:t>
      </w:r>
    </w:p>
    <w:p>
      <w:pPr>
        <w:pStyle w:val="ListBullet"/>
        <w:keepLines/>
        <w:widowControl/>
      </w:pPr>
      <w:r>
        <w:t>2 Решение</w:t>
      </w:r>
    </w:p>
    <w:p>
      <w:pPr>
        <w:pStyle w:val="ListBullet"/>
        <w:keepLines/>
        <w:widowControl/>
      </w:pPr>
      <w:r>
        <w:t>3 Область ответственности, владение и границы</w:t>
      </w:r>
    </w:p>
    <w:p>
      <w:pPr>
        <w:pStyle w:val="ListBullet"/>
        <w:keepLines/>
        <w:widowControl/>
      </w:pPr>
      <w:r>
        <w:t>4 Контракты и потоки выполнения</w:t>
      </w:r>
    </w:p>
    <w:p>
      <w:pPr>
        <w:pStyle w:val="ListBullet"/>
        <w:keepLines/>
        <w:widowControl/>
      </w:pPr>
      <w:r>
        <w:t>5 Жизненный цикл, ошибки и восстановление</w:t>
      </w:r>
    </w:p>
    <w:p>
      <w:pPr>
        <w:pStyle w:val="ListBullet"/>
        <w:keepLines/>
        <w:widowControl/>
      </w:pPr>
      <w:r>
        <w:t>6 Безопасность, данные и архитектурные правила</w:t>
      </w:r>
    </w:p>
    <w:p>
      <w:pPr>
        <w:pStyle w:val="ListBullet"/>
        <w:keepLines/>
        <w:widowControl/>
      </w:pPr>
      <w:r>
        <w:t>7 Альтернативы и компромиссы</w:t>
      </w:r>
    </w:p>
    <w:p>
      <w:pPr>
        <w:pStyle w:val="ListBullet"/>
        <w:keepLines/>
        <w:widowControl/>
      </w:pPr>
      <w:r>
        <w:t>8 Реализация и проверка</w:t>
      </w:r>
    </w:p>
    <w:p>
      <w:pPr>
        <w:pStyle w:val="ListBullet"/>
        <w:keepLines/>
        <w:widowControl/>
      </w:pPr>
      <w:r>
        <w:t>9 Трассируемость и история изменений</w:t>
      </w:r>
    </w:p>
    <w:p>
      <w:pPr>
        <w:widowControl/>
      </w:pPr>
      <w:r>
        <w:br w:type="page"/>
      </w:r>
    </w:p>
    <w:p>
      <w:pPr>
        <w:pStyle w:val="Heading1"/>
        <w:keepNext/>
        <w:widowControl/>
      </w:pPr>
      <w:r>
        <w:t>1 Контекст и проблема</w:t>
      </w:r>
    </w:p>
    <w:p>
      <w:pPr>
        <w:widowControl/>
      </w:pPr>
      <w:r>
        <w:t>World Engine использует AI для диалога и других явно утверждённых сценариев. Local AI должен работать без обязательной внешней сети и оставаться заменяемым внешним provider через общий контракт.</w:t>
      </w:r>
    </w:p>
    <w:p>
      <w:pPr>
        <w:widowControl/>
      </w:pPr>
      <w:r>
        <w:t>Старая редакция одновременно допускала Core как generic consumer и показывала Context Manager до AI Adapter. Она также не отделяла consumer request path от управления lifecycle процесса provider.</w:t>
      </w:r>
    </w:p>
    <w:p>
      <w:pPr>
        <w:pStyle w:val="Heading2"/>
        <w:keepNext/>
        <w:widowControl/>
      </w:pPr>
      <w:r>
        <w:t>Вне области решения</w:t>
      </w:r>
    </w:p>
    <w:p>
      <w:pPr>
        <w:pStyle w:val="ListBullet"/>
        <w:keepLines/>
        <w:widowControl/>
      </w:pPr>
      <w:r>
        <w:t>Авторитетные решения о мире</w:t>
      </w:r>
    </w:p>
    <w:p>
      <w:pPr>
        <w:pStyle w:val="ListBullet"/>
        <w:keepLines/>
        <w:widowControl/>
      </w:pPr>
      <w:r>
        <w:t>Прямые game actions</w:t>
      </w:r>
    </w:p>
    <w:p>
      <w:pPr>
        <w:pStyle w:val="ListBullet"/>
        <w:keepLines/>
        <w:widowControl/>
      </w:pPr>
      <w:r>
        <w:t>Прямой Save или SQLite access</w:t>
      </w:r>
    </w:p>
    <w:p>
      <w:pPr>
        <w:pStyle w:val="ListBullet"/>
        <w:keepLines/>
        <w:widowControl/>
      </w:pPr>
      <w:r>
        <w:t>Выбор конкретной модели без отдельной policy</w:t>
      </w:r>
    </w:p>
    <w:p>
      <w:pPr>
        <w:pStyle w:val="Heading1"/>
        <w:keepNext/>
        <w:widowControl/>
      </w:pPr>
      <w:r>
        <w:t>2 Решение</w:t>
      </w:r>
    </w:p>
    <w:p>
      <w:pPr>
        <w:widowControl/>
      </w:pPr>
      <w:r>
        <w:t>Consumer-facing entry point всегда является AI Adapter или узкий AI Capability Port. AI Adapter выполняет validation, authorization, timeout, cancellation и transport normalization до обращения к Context Manager.</w:t>
      </w:r>
    </w:p>
    <w:p>
      <w:pPr>
        <w:widowControl/>
      </w:pPr>
      <w:r>
        <w:t>Context Manager формирует минимизированный разрешённый контекст. Provider Abstraction скрывает Local AI и External LLM. Результат становится действующим только после deterministic application или domain validation.</w:t>
      </w:r>
    </w:p>
    <w:p>
      <w:pPr>
        <w:pStyle w:val="Heading2"/>
        <w:keepNext/>
        <w:widowControl/>
      </w:pPr>
      <w:r>
        <w:t>Обязательные правила</w:t>
      </w:r>
    </w:p>
    <w:p>
      <w:pPr>
        <w:pStyle w:val="ListBullet"/>
        <w:keepLines/>
        <w:widowControl/>
      </w:pPr>
      <w:r>
        <w:t>Dialogue является основным AI consumer v1.x.</w:t>
      </w:r>
    </w:p>
    <w:p>
      <w:pPr>
        <w:pStyle w:val="ListBullet"/>
        <w:keepLines/>
        <w:widowControl/>
      </w:pPr>
      <w:r>
        <w:t>Дополнительный consumer требует явного use case contract и context policy.</w:t>
      </w:r>
    </w:p>
    <w:p>
      <w:pPr>
        <w:pStyle w:val="ListBullet"/>
        <w:keepLines/>
        <w:widowControl/>
      </w:pPr>
      <w:r>
        <w:t>Core получает readiness или capability evidence и не вызывает provider как generic service.</w:t>
      </w:r>
    </w:p>
    <w:p>
      <w:pPr>
        <w:pStyle w:val="ListBullet"/>
        <w:keepLines/>
        <w:widowControl/>
      </w:pPr>
      <w:r>
        <w:t>HTTP и фиксированный localhost port не обязательны; разрешены утверждённые loopback или IPC transports.</w:t>
      </w:r>
    </w:p>
    <w:p>
      <w:pPr>
        <w:pStyle w:val="ListBullet"/>
        <w:keepLines/>
        <w:widowControl/>
      </w:pPr>
      <w:r>
        <w:t>Fallback на External LLM выполняется только по provider и privacy policy.</w:t>
      </w:r>
    </w:p>
    <w:p>
      <w:pPr>
        <w:pStyle w:val="Heading1"/>
        <w:keepNext/>
        <w:widowControl/>
      </w:pPr>
      <w:r>
        <w:t>3 Область ответственности, владение и границы</w:t>
      </w:r>
    </w:p>
    <w:p>
      <w:pPr>
        <w:widowControl/>
      </w:pPr>
      <w:r>
        <w:t>Таблица фиксирует владельца каждой обязанности и семантику отношения. Владение не выводится из направления runtime-вызова.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3289"/>
        <w:gridCol w:w="3289"/>
        <w:gridCol w:w="3289"/>
      </w:tblGrid>
      <w:tr>
        <w:trPr>
          <w:cantSplit/>
          <w:tblHeader w:val="true"/>
        </w:trPr>
        <w:tc>
          <w:tcPr>
            <w:tcW w:type="dxa" w:w="25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7324D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16"/>
              </w:rPr>
              <w:t>Компонент / граница</w:t>
            </w:r>
          </w:p>
        </w:tc>
        <w:tc>
          <w:tcPr>
            <w:tcW w:type="dxa" w:w="54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7324D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16"/>
              </w:rPr>
              <w:t>Ответственность</w:t>
            </w:r>
          </w:p>
        </w:tc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7324D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16"/>
              </w:rPr>
              <w:t>Семантика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6"/>
              </w:rPr>
              <w:t>Approved Consumer</w:t>
            </w:r>
          </w:p>
        </w:tc>
        <w:tc>
          <w:tcPr>
            <w:tcW w:type="dxa" w:w="54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6"/>
              </w:rPr>
              <w:t>Цель use case и принятие результата</w:t>
            </w:r>
          </w:p>
        </w:tc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6"/>
              </w:rPr>
              <w:t>Ownership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7FA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6"/>
              </w:rPr>
              <w:t>AI Adapter</w:t>
            </w:r>
          </w:p>
        </w:tc>
        <w:tc>
          <w:tcPr>
            <w:tcW w:type="dxa" w:w="54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7FA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6"/>
              </w:rPr>
              <w:t>Security boundary и request policy</w:t>
            </w:r>
          </w:p>
        </w:tc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7FA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6"/>
              </w:rPr>
              <w:t>Ownership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6"/>
              </w:rPr>
              <w:t>Context Manager</w:t>
            </w:r>
          </w:p>
        </w:tc>
        <w:tc>
          <w:tcPr>
            <w:tcW w:type="dxa" w:w="54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6"/>
              </w:rPr>
              <w:t>Context selection и minimization</w:t>
            </w:r>
          </w:p>
        </w:tc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6"/>
              </w:rPr>
              <w:t>Ownership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7FA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6"/>
              </w:rPr>
              <w:t>Provider Abstraction</w:t>
            </w:r>
          </w:p>
        </w:tc>
        <w:tc>
          <w:tcPr>
            <w:tcW w:type="dxa" w:w="54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7FA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6"/>
              </w:rPr>
              <w:t>Provider-neutral execution contract</w:t>
            </w:r>
          </w:p>
        </w:tc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7FA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6"/>
              </w:rPr>
              <w:t>Contract ownership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6"/>
              </w:rPr>
              <w:t>Provider</w:t>
            </w:r>
          </w:p>
        </w:tc>
        <w:tc>
          <w:tcPr>
            <w:tcW w:type="dxa" w:w="54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6"/>
              </w:rPr>
              <w:t>Model runtime и health evidence</w:t>
            </w:r>
          </w:p>
        </w:tc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6"/>
              </w:rPr>
              <w:t>Ownership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7FA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6"/>
              </w:rPr>
              <w:t>Host</w:t>
            </w:r>
          </w:p>
        </w:tc>
        <w:tc>
          <w:tcPr>
            <w:tcW w:type="dxa" w:w="54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7FA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6"/>
              </w:rPr>
              <w:t>Start, restart, readiness и stop процесса</w:t>
            </w:r>
          </w:p>
        </w:tc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7FA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6"/>
              </w:rPr>
              <w:t>Lifecycle wiring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6"/>
              </w:rPr>
              <w:t>Domain owner</w:t>
            </w:r>
          </w:p>
        </w:tc>
        <w:tc>
          <w:tcPr>
            <w:tcW w:type="dxa" w:w="54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6"/>
              </w:rPr>
              <w:t>Детерминированная validation и commit</w:t>
            </w:r>
          </w:p>
        </w:tc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6"/>
              </w:rPr>
              <w:t>Authority</w:t>
            </w:r>
          </w:p>
        </w:tc>
      </w:tr>
    </w:tbl>
    <w:p>
      <w:pPr>
        <w:widowControl/>
        <w:spacing w:after="40"/>
      </w:pPr>
    </w:p>
    <w:p>
      <w:pPr>
        <w:pStyle w:val="Heading1"/>
        <w:keepNext/>
        <w:widowControl/>
      </w:pPr>
      <w:r>
        <w:t>4 Контракты и потоки выполнения</w:t>
      </w:r>
    </w:p>
    <w:p>
      <w:pPr>
        <w:widowControl/>
      </w:pPr>
      <w:r>
        <w:t>Каждый поток ниже явно указывает тип отношения и не создаёт дополнительных скрытых зависимостей.</w:t>
      </w:r>
    </w:p>
    <w:p>
      <w:pPr>
        <w:pStyle w:val="CodePath"/>
        <w:widowControl/>
      </w:pPr>
      <w:r>
        <w:t>Runtime call: Approved Consumer to AI Adapter or AI Capability Port.</w:t>
      </w:r>
    </w:p>
    <w:p>
      <w:pPr>
        <w:pStyle w:val="CodePath"/>
        <w:widowControl/>
      </w:pPr>
      <w:r>
        <w:t>Validated data flow: AI Adapter to Context Manager with approved context request.</w:t>
      </w:r>
    </w:p>
    <w:p>
      <w:pPr>
        <w:pStyle w:val="CodePath"/>
        <w:widowControl/>
      </w:pPr>
      <w:r>
        <w:t>Runtime call: Context Manager to Provider Abstraction to configured provider.</w:t>
      </w:r>
    </w:p>
    <w:p>
      <w:pPr>
        <w:pStyle w:val="CodePath"/>
        <w:widowControl/>
      </w:pPr>
      <w:r>
        <w:t>Result data flow: provider result to AI Adapter to consumer validation.</w:t>
      </w:r>
    </w:p>
    <w:p>
      <w:pPr>
        <w:pStyle w:val="CodePath"/>
        <w:widowControl/>
      </w:pPr>
      <w:r>
        <w:t>Lifecycle wiring: Host starts and monitors provider process independently from the request path.</w:t>
      </w:r>
    </w:p>
    <w:p>
      <w:pPr>
        <w:pStyle w:val="Heading1"/>
        <w:keepNext/>
        <w:widowControl/>
      </w:pPr>
      <w:r>
        <w:t>5 Жизненный цикл, ошибки и восстановление</w:t>
      </w:r>
    </w:p>
    <w:p>
      <w:pPr>
        <w:pStyle w:val="ListBullet"/>
        <w:keepLines/>
        <w:widowControl/>
      </w:pPr>
      <w:r>
        <w:t>Configuration определяет разрешённые providers, transports и fallback policy.</w:t>
      </w:r>
    </w:p>
    <w:p>
      <w:pPr>
        <w:pStyle w:val="ListBullet"/>
        <w:keepLines/>
        <w:widowControl/>
      </w:pPr>
      <w:r>
        <w:t>Host запускает provider, проверяет health и публикует evidence.</w:t>
      </w:r>
    </w:p>
    <w:p>
      <w:pPr>
        <w:pStyle w:val="ListBullet"/>
        <w:keepLines/>
        <w:widowControl/>
      </w:pPr>
      <w:r>
        <w:t>AI Adapter объявляет Ready только при доступном разрешённом provider и валидной policy.</w:t>
      </w:r>
    </w:p>
    <w:p>
      <w:pPr>
        <w:pStyle w:val="ListBullet"/>
        <w:keepLines/>
        <w:widowControl/>
      </w:pPr>
      <w:r>
        <w:t>Timeout, malformed response или policy denial возвращаются как typed failure без domain side effect.</w:t>
      </w:r>
    </w:p>
    <w:p>
      <w:pPr>
        <w:pStyle w:val="ListBullet"/>
        <w:keepLines/>
        <w:widowControl/>
      </w:pPr>
      <w:r>
        <w:t>Повторный crash переводит capability в Degraded или Unavailable; ложный Ready запрещён.</w:t>
      </w:r>
    </w:p>
    <w:p>
      <w:pPr>
        <w:pStyle w:val="ListBullet"/>
        <w:keepLines/>
        <w:widowControl/>
      </w:pPr>
      <w:r>
        <w:t>Shutdown останавливает новые requests, отменяет разрешённые operations и завершает provider process.</w:t>
      </w:r>
    </w:p>
    <w:p>
      <w:pPr>
        <w:pStyle w:val="Heading1"/>
        <w:keepNext/>
        <w:widowControl/>
      </w:pPr>
      <w:r>
        <w:t>6 Безопасность, данные и архитектурные правила</w:t>
      </w:r>
    </w:p>
    <w:p>
      <w:pPr>
        <w:pStyle w:val="Heading2"/>
        <w:keepNext/>
        <w:widowControl/>
      </w:pPr>
      <w:r>
        <w:t>Обязательные архитектурные правила</w:t>
      </w:r>
    </w:p>
    <w:p>
      <w:pPr>
        <w:pStyle w:val="ListBullet"/>
        <w:keepLines/>
        <w:widowControl/>
      </w:pPr>
      <w:r>
        <w:t>AI output не является domain truth.</w:t>
      </w:r>
    </w:p>
    <w:p>
      <w:pPr>
        <w:pStyle w:val="ListBullet"/>
        <w:keepLines/>
        <w:widowControl/>
      </w:pPr>
      <w:r>
        <w:t>AI не имеет прямого доступа к SQLite, Save Manager, Game Runtime или plugin execution.</w:t>
      </w:r>
    </w:p>
    <w:p>
      <w:pPr>
        <w:pStyle w:val="ListBullet"/>
        <w:keepLines/>
        <w:widowControl/>
      </w:pPr>
      <w:r>
        <w:t>Context минимизируется и классифицируется до передачи provider.</w:t>
      </w:r>
    </w:p>
    <w:p>
      <w:pPr>
        <w:pStyle w:val="ListBullet"/>
        <w:keepLines/>
        <w:widowControl/>
      </w:pPr>
      <w:r>
        <w:t>Secrets не включаются в prompt, YAML или logs.</w:t>
      </w:r>
    </w:p>
    <w:p>
      <w:pPr>
        <w:pStyle w:val="ListBullet"/>
        <w:keepLines/>
        <w:widowControl/>
      </w:pPr>
      <w:r>
        <w:t>Tool request требует отдельной authorization boundary.</w:t>
      </w:r>
    </w:p>
    <w:p>
      <w:pPr>
        <w:pStyle w:val="ListBullet"/>
        <w:keepLines/>
        <w:widowControl/>
      </w:pPr>
      <w:r>
        <w:t>Optional AI outage не останавливает обязательный Core startup.</w:t>
      </w:r>
    </w:p>
    <w:p>
      <w:pPr>
        <w:pStyle w:val="Heading1"/>
        <w:keepNext/>
        <w:widowControl/>
      </w:pPr>
      <w:r>
        <w:t>7 Альтернативы и компромиссы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3289"/>
        <w:gridCol w:w="3289"/>
        <w:gridCol w:w="3289"/>
      </w:tblGrid>
      <w:tr>
        <w:trPr>
          <w:cantSplit/>
          <w:tblHeader w:val="true"/>
        </w:trPr>
        <w:tc>
          <w:tcPr>
            <w:tcW w:type="dxa" w:w="28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7324D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16"/>
              </w:rPr>
              <w:t>Альтернатива</w:t>
            </w:r>
          </w:p>
        </w:tc>
        <w:tc>
          <w:tcPr>
            <w:tcW w:type="dxa" w:w="17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7324D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16"/>
              </w:rPr>
              <w:t>Результат</w:t>
            </w:r>
          </w:p>
        </w:tc>
        <w:tc>
          <w:tcPr>
            <w:tcW w:type="dxa" w:w="51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7324D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16"/>
              </w:rPr>
              <w:t>Причина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6"/>
              </w:rPr>
              <w:t>Model inside main process</w:t>
            </w:r>
          </w:p>
        </w:tc>
        <w:tc>
          <w:tcPr>
            <w:tcW w:type="dxa" w:w="17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6"/>
              </w:rPr>
              <w:t>Отклонено</w:t>
            </w:r>
          </w:p>
        </w:tc>
        <w:tc>
          <w:tcPr>
            <w:tcW w:type="dxa" w:w="51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6"/>
              </w:rPr>
              <w:t>Слабая изоляция crash и ресурсов.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7FA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6"/>
              </w:rPr>
              <w:t>Direct consumer to provider</w:t>
            </w:r>
          </w:p>
        </w:tc>
        <w:tc>
          <w:tcPr>
            <w:tcW w:type="dxa" w:w="17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7FA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6"/>
              </w:rPr>
              <w:t>Отклонено</w:t>
            </w:r>
          </w:p>
        </w:tc>
        <w:tc>
          <w:tcPr>
            <w:tcW w:type="dxa" w:w="51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7FA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6"/>
              </w:rPr>
              <w:t>Дублирует security и context policy.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6"/>
              </w:rPr>
              <w:t>Core as AI gateway</w:t>
            </w:r>
          </w:p>
        </w:tc>
        <w:tc>
          <w:tcPr>
            <w:tcW w:type="dxa" w:w="17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6"/>
              </w:rPr>
              <w:t>Отклонено</w:t>
            </w:r>
          </w:p>
        </w:tc>
        <w:tc>
          <w:tcPr>
            <w:tcW w:type="dxa" w:w="51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6"/>
              </w:rPr>
              <w:t>Создаёт generic dependency и неверное ownership.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7FA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6"/>
              </w:rPr>
              <w:t>External only AI</w:t>
            </w:r>
          </w:p>
        </w:tc>
        <w:tc>
          <w:tcPr>
            <w:tcW w:type="dxa" w:w="17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7FA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6"/>
              </w:rPr>
              <w:t>Отклонено</w:t>
            </w:r>
          </w:p>
        </w:tc>
        <w:tc>
          <w:tcPr>
            <w:tcW w:type="dxa" w:w="51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7FA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6"/>
              </w:rPr>
              <w:t>Нарушает local-first цель.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6"/>
              </w:rPr>
              <w:t>Adapter plus separate provider process</w:t>
            </w:r>
          </w:p>
        </w:tc>
        <w:tc>
          <w:tcPr>
            <w:tcW w:type="dxa" w:w="17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6"/>
              </w:rPr>
              <w:t>Выбрано</w:t>
            </w:r>
          </w:p>
        </w:tc>
        <w:tc>
          <w:tcPr>
            <w:tcW w:type="dxa" w:w="51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6"/>
              </w:rPr>
              <w:t>Поддерживает изоляцию и заменяемость.</w:t>
            </w:r>
          </w:p>
        </w:tc>
      </w:tr>
    </w:tbl>
    <w:p>
      <w:pPr>
        <w:widowControl/>
        <w:spacing w:after="40"/>
      </w:pPr>
    </w:p>
    <w:p>
      <w:pPr>
        <w:pStyle w:val="Heading2"/>
        <w:keepNext/>
        <w:widowControl/>
      </w:pPr>
      <w:r>
        <w:t>Принятые компромиссы</w:t>
      </w:r>
    </w:p>
    <w:p>
      <w:pPr>
        <w:pStyle w:val="ListBullet"/>
        <w:keepLines/>
        <w:widowControl/>
      </w:pPr>
      <w:r>
        <w:t>Отдельный процесс добавляет startup и IPC complexity, но ограничивает crash и resource impact.</w:t>
      </w:r>
    </w:p>
    <w:p>
      <w:pPr>
        <w:pStyle w:val="ListBullet"/>
        <w:keepLines/>
        <w:widowControl/>
      </w:pPr>
      <w:r>
        <w:t>Строгая context policy может уменьшать качество ответа, но необходима для privacy и deterministic authority.</w:t>
      </w:r>
    </w:p>
    <w:p>
      <w:pPr>
        <w:pStyle w:val="Heading1"/>
        <w:keepNext/>
        <w:widowControl/>
      </w:pPr>
      <w:r>
        <w:t>8 Реализация и проверка</w:t>
      </w:r>
    </w:p>
    <w:p>
      <w:pPr>
        <w:pStyle w:val="Heading2"/>
        <w:keepNext/>
        <w:widowControl/>
      </w:pPr>
      <w:r>
        <w:t>Требования к реализации</w:t>
      </w:r>
    </w:p>
    <w:p>
      <w:pPr>
        <w:pStyle w:val="ListBullet"/>
        <w:keepLines/>
        <w:widowControl/>
      </w:pPr>
      <w:r>
        <w:t>AI Adapter API остаётся transport-neutral и provider-neutral.</w:t>
      </w:r>
    </w:p>
    <w:p>
      <w:pPr>
        <w:pStyle w:val="ListBullet"/>
        <w:keepLines/>
        <w:widowControl/>
      </w:pPr>
      <w:r>
        <w:t>Provider process получает bounded request и возвращает structured response.</w:t>
      </w:r>
    </w:p>
    <w:p>
      <w:pPr>
        <w:pStyle w:val="ListBullet"/>
        <w:keepLines/>
        <w:widowControl/>
      </w:pPr>
      <w:r>
        <w:t>Context Manager не имеет прямого доступа ко всей application memory.</w:t>
      </w:r>
    </w:p>
    <w:p>
      <w:pPr>
        <w:pStyle w:val="ListBullet"/>
        <w:keepLines/>
        <w:widowControl/>
      </w:pPr>
      <w:r>
        <w:t>Rate limits и concurrency limits задаются policy.</w:t>
      </w:r>
    </w:p>
    <w:p>
      <w:pPr>
        <w:pStyle w:val="ListBullet"/>
        <w:keepLines/>
        <w:widowControl/>
      </w:pPr>
      <w:r>
        <w:t>Каждый consumer тестирует deterministic validation отдельно от provider quality.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33"/>
        <w:gridCol w:w="4933"/>
      </w:tblGrid>
      <w:tr>
        <w:trPr>
          <w:cantSplit/>
          <w:tblHeader w:val="true"/>
        </w:trPr>
        <w:tc>
          <w:tcPr>
            <w:tcW w:type="dxa" w:w="32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7324D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16"/>
              </w:rPr>
              <w:t>Проверка</w:t>
            </w:r>
          </w:p>
        </w:tc>
        <w:tc>
          <w:tcPr>
            <w:tcW w:type="dxa" w:w="65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7324D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16"/>
              </w:rPr>
              <w:t>Условие PASS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6"/>
              </w:rPr>
              <w:t>Dependency scan</w:t>
            </w:r>
          </w:p>
        </w:tc>
        <w:tc>
          <w:tcPr>
            <w:tcW w:type="dxa" w:w="65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6"/>
              </w:rPr>
              <w:t>Нет provider SDK imports у consumers и Core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7FA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6"/>
              </w:rPr>
              <w:t>Context tests</w:t>
            </w:r>
          </w:p>
        </w:tc>
        <w:tc>
          <w:tcPr>
            <w:tcW w:type="dxa" w:w="65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7FA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6"/>
              </w:rPr>
              <w:t>Передаются только разрешённые поля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6"/>
              </w:rPr>
              <w:t>Failure tests</w:t>
            </w:r>
          </w:p>
        </w:tc>
        <w:tc>
          <w:tcPr>
            <w:tcW w:type="dxa" w:w="65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6"/>
              </w:rPr>
              <w:t>Timeout и crash не дают side effects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7FA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6"/>
              </w:rPr>
              <w:t>Authority tests</w:t>
            </w:r>
          </w:p>
        </w:tc>
        <w:tc>
          <w:tcPr>
            <w:tcW w:type="dxa" w:w="65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7FA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6"/>
              </w:rPr>
              <w:t>Unvalidated output не применяется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6"/>
              </w:rPr>
              <w:t>Readiness tests</w:t>
            </w:r>
          </w:p>
        </w:tc>
        <w:tc>
          <w:tcPr>
            <w:tcW w:type="dxa" w:w="65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6"/>
              </w:rPr>
              <w:t>Optional outage даёт Degraded</w:t>
            </w:r>
          </w:p>
        </w:tc>
      </w:tr>
    </w:tbl>
    <w:p>
      <w:pPr>
        <w:widowControl/>
        <w:spacing w:after="40"/>
      </w:pPr>
    </w:p>
    <w:p>
      <w:pPr>
        <w:pStyle w:val="Heading1"/>
        <w:keepNext/>
        <w:widowControl/>
      </w:pPr>
      <w:r>
        <w:t>9 Трассируемость и история изменений</w:t>
      </w:r>
    </w:p>
    <w:p>
      <w:pPr>
        <w:pStyle w:val="Heading2"/>
        <w:keepNext/>
        <w:widowControl/>
      </w:pPr>
      <w:r>
        <w:t>Связанные документы</w:t>
      </w:r>
    </w:p>
    <w:p>
      <w:pPr>
        <w:pStyle w:val="ListBullet"/>
        <w:keepLines/>
        <w:widowControl/>
      </w:pPr>
      <w:r>
        <w:t>ADR-008</w:t>
      </w:r>
    </w:p>
    <w:p>
      <w:pPr>
        <w:pStyle w:val="ListBullet"/>
        <w:keepLines/>
        <w:widowControl/>
      </w:pPr>
      <w:r>
        <w:t>ARCH-008 v1.1</w:t>
      </w:r>
    </w:p>
    <w:p>
      <w:pPr>
        <w:pStyle w:val="ListBullet"/>
        <w:keepLines/>
        <w:widowControl/>
      </w:pPr>
      <w:r>
        <w:t>ARCH-009 v1.1</w:t>
      </w:r>
    </w:p>
    <w:p>
      <w:pPr>
        <w:pStyle w:val="ListBullet"/>
        <w:keepLines/>
        <w:widowControl/>
      </w:pPr>
      <w:r>
        <w:t>ARCH-012 v1.1</w:t>
      </w:r>
    </w:p>
    <w:p>
      <w:pPr>
        <w:pStyle w:val="ListBullet"/>
        <w:keepLines/>
        <w:widowControl/>
      </w:pPr>
      <w:r>
        <w:t>MOD-001 v1.2</w:t>
      </w:r>
    </w:p>
    <w:p>
      <w:pPr>
        <w:pStyle w:val="ListBullet"/>
        <w:keepLines/>
        <w:widowControl/>
      </w:pPr>
      <w:r>
        <w:t>AUDIT-007</w:t>
      </w:r>
    </w:p>
    <w:p>
      <w:pPr>
        <w:pStyle w:val="ListBullet"/>
        <w:keepLines/>
        <w:widowControl/>
      </w:pPr>
      <w:r>
        <w:t>AUDIT-028</w:t>
      </w:r>
    </w:p>
    <w:p>
      <w:pPr>
        <w:pStyle w:val="Heading2"/>
        <w:keepNext/>
        <w:widowControl/>
      </w:pPr>
      <w:r>
        <w:t>История изменений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3289"/>
        <w:gridCol w:w="3289"/>
        <w:gridCol w:w="3289"/>
      </w:tblGrid>
      <w:tr>
        <w:trPr>
          <w:cantSplit/>
          <w:tblHeader w:val="true"/>
        </w:trPr>
        <w:tc>
          <w:tcPr>
            <w:tcW w:type="dxa" w:w="11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7324D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16"/>
              </w:rPr>
              <w:t>Версия</w:t>
            </w:r>
          </w:p>
        </w:tc>
        <w:tc>
          <w:tcPr>
            <w:tcW w:type="dxa" w:w="17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7324D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16"/>
              </w:rPr>
              <w:t>Дата</w:t>
            </w:r>
          </w:p>
        </w:tc>
        <w:tc>
          <w:tcPr>
            <w:tcW w:type="dxa" w:w="69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7324D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16"/>
              </w:rPr>
              <w:t>Изменение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6"/>
              </w:rPr>
              <w:t>v1.0</w:t>
            </w:r>
          </w:p>
        </w:tc>
        <w:tc>
          <w:tcPr>
            <w:tcW w:type="dxa" w:w="17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6"/>
              </w:rPr>
              <w:t>2026-08-13</w:t>
            </w:r>
          </w:p>
        </w:tc>
        <w:tc>
          <w:tcPr>
            <w:tcW w:type="dxa" w:w="69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6"/>
              </w:rPr>
              <w:t>Historical complete edition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7FA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6"/>
              </w:rPr>
              <w:t>v2.0</w:t>
            </w:r>
          </w:p>
        </w:tc>
        <w:tc>
          <w:tcPr>
            <w:tcW w:type="dxa" w:w="17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7FA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6"/>
              </w:rPr>
              <w:t>2026-09-04</w:t>
            </w:r>
          </w:p>
        </w:tc>
        <w:tc>
          <w:tcPr>
            <w:tcW w:type="dxa" w:w="69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7FA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6"/>
              </w:rPr>
              <w:t>Создана полная консолидированная редакция. Смысловые исправления встроены в основной текст; устранены повторные титульные блоки, неоднозначные схемы и плотные таблицы старой версии.</w:t>
            </w:r>
          </w:p>
        </w:tc>
      </w:tr>
    </w:tbl>
    <w:p>
      <w:pPr>
        <w:widowControl/>
        <w:spacing w:after="4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907" w:right="1020" w:bottom="907" w:left="1020" w:header="397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595959"/>
        <w:sz w:val="16"/>
      </w:rPr>
      <w:t xml:space="preserve">ADR-004   RU   v2.0   </w:t>
    </w:r>
    <w:r>
      <w:rPr>
        <w:rFonts w:ascii="Arial" w:hAnsi="Arial"/>
        <w:sz w:val="16"/>
      </w:rPr>
      <w:fldChar w:fldCharType="begin"/>
      <w:instrText xml:space="preserve"> PAGE </w:instrText>
      <w:fldChar w:fldCharType="separate"/>
      <w:t>1</w:t>
      <w:fldChar w:fldCharType="end"/>
    </w:r>
    <w:r>
      <w:rPr>
        <w:sz w:val="16"/>
      </w:rPr>
      <w:t xml:space="preserve"> / </w:t>
    </w:r>
    <w:r>
      <w:rPr>
        <w:rFonts w:ascii="Arial" w:hAnsi="Arial"/>
        <w:sz w:val="16"/>
      </w:rPr>
      <w:fldChar w:fldCharType="begin"/>
      <w:instrText xml:space="preserve"> NUMPAGES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color w:val="595959"/>
        <w:sz w:val="15"/>
      </w:rPr>
      <w:t>World Engine   ADR-004   v2.0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59" w:lineRule="auto"/>
    </w:pPr>
    <w:rPr>
      <w:rFonts w:ascii="Arial" w:hAnsi="Arial" w:eastAsia="Arial"/>
      <w:b w:val="0"/>
      <w:i w:val="0"/>
      <w:color w:val="000000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 w:ascii="Arial" w:hAnsi="Arial" w:eastAsia="Arial"/>
      <w:b/>
      <w:bCs/>
      <w:i w:val="0"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60"/>
      <w:outlineLvl w:val="1"/>
    </w:pPr>
    <w:rPr>
      <w:rFonts w:asciiTheme="majorHAnsi" w:eastAsiaTheme="majorEastAsia" w:hAnsiTheme="majorHAnsi" w:cstheme="majorBidi" w:ascii="Arial" w:hAnsi="Arial" w:eastAsia="Arial"/>
      <w:b/>
      <w:bCs/>
      <w:i w:val="0"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40" w:line="240" w:lineRule="auto" w:before="80"/>
      <w:contextualSpacing/>
      <w:jc w:val="center"/>
    </w:pPr>
    <w:rPr>
      <w:rFonts w:asciiTheme="majorHAnsi" w:eastAsiaTheme="majorEastAsia" w:hAnsiTheme="majorHAnsi" w:cstheme="majorBidi" w:ascii="Arial" w:hAnsi="Arial" w:eastAsia="Arial"/>
      <w:b/>
      <w:i w:val="0"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240"/>
      <w:jc w:val="center"/>
    </w:pPr>
    <w:rPr>
      <w:rFonts w:asciiTheme="majorHAnsi" w:eastAsiaTheme="majorEastAsia" w:hAnsiTheme="majorHAnsi" w:cstheme="majorBidi" w:ascii="Arial" w:hAnsi="Arial" w:eastAsia="Arial"/>
      <w:b w:val="0"/>
      <w:i w:val="0"/>
      <w:iCs/>
      <w:color w:val="000000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/>
      <w:ind w:left="312" w:hanging="142"/>
      <w:contextualSpacing/>
    </w:pPr>
    <w:rPr>
      <w:rFonts w:ascii="Arial" w:hAnsi="Arial" w:eastAsia="Arial"/>
      <w:b w:val="0"/>
      <w:i w:val="0"/>
      <w:color w:val="000000"/>
      <w:sz w:val="19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Path">
    <w:name w:val="Code Path"/>
    <w:pPr>
      <w:keepLines/>
      <w:spacing w:before="40" w:after="60"/>
      <w:ind w:left="312"/>
    </w:pPr>
    <w:rPr>
      <w:rFonts w:ascii="Consolas" w:hAnsi="Consolas" w:eastAsia="Consolas"/>
      <w:b w:val="0"/>
      <w:i w:val="0"/>
      <w:color w:val="000000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ADR-004 Локальный искусственный интеллект</dc:title>
  <dc:subject>World Engine architecture decision v2.0</dc:subject>
  <dc:creator>Andrii Drahulskyi</dc:creator>
  <cp:keywords>World Engine, ADR, architecture, audited, consolidated</cp:keywords>
  <dc:description>Full consolidated architecture-audited edition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