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ADR-008 — Dependency Semantics, Contract Ownership &amp; Composition Root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Proposed Audited v1.0 · normative Entscheidung für World Engine Version 1.x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Sprache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Datum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Übergeordnete Entscheidung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New audited decision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Geltungsbereich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Architecture decision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Ziel-Release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Status und Kontext</w:t>
      </w:r>
    </w:p>
    <w:p>
      <w:pPr>
        <w:keepLines/>
      </w:pPr>
      <w:r>
        <w:rPr>
          <w:rFonts w:ascii="Arial" w:hAnsi="Arial" w:eastAsia="Arial"/>
          <w:sz w:val="19"/>
        </w:rPr>
        <w:t>Nach dem Architecture Audit vorgeschlagen. Nach Annahme bildet dieses ADR die gemeinsame Auslegungsbasis für ADR-001–007 und ARCH-001–012.</w:t>
      </w:r>
    </w:p>
    <w:p>
      <w:pPr>
        <w:pStyle w:val="Heading2"/>
        <w:keepNext/>
      </w:pPr>
      <w:r>
        <w:rPr>
          <w:rFonts w:ascii="Arial" w:hAnsi="Arial" w:eastAsia="Arial"/>
          <w:b/>
          <w:color w:val="138A8A"/>
          <w:sz w:val="22"/>
        </w:rPr>
        <w:t>Context</w:t>
      </w:r>
    </w:p>
    <w:p>
      <w:pPr>
        <w:keepLines/>
      </w:pPr>
      <w:r>
        <w:rPr>
          <w:rFonts w:ascii="Arial" w:hAnsi="Arial" w:eastAsia="Arial"/>
          <w:sz w:val="19"/>
        </w:rPr>
        <w:t>Frühere Dokumente vermischten statische Abhängigkeiten, Runtime Calls, Events, Data Flow, Ownership und Lifecycle Wiring. Gleichartige Pfeile erlaubten gegensätzliche Lesarten und verbargen Zyklen wie Core↔Scheduler, Core↔Game Adapter sowie breite Core-Abhängigkeiten von Repository/AI.</w:t>
      </w:r>
    </w:p>
    <w:p>
      <w:pPr>
        <w:pStyle w:val="Heading2"/>
        <w:keepNext/>
      </w:pPr>
      <w:r>
        <w:rPr>
          <w:rFonts w:ascii="Arial" w:hAnsi="Arial" w:eastAsia="Arial"/>
          <w:b/>
          <w:color w:val="138A8A"/>
          <w:sz w:val="22"/>
        </w:rPr>
        <w:t>Decision</w:t>
      </w:r>
    </w:p>
    <w:p>
      <w:pPr>
        <w:keepLines/>
      </w:pPr>
      <w:r>
        <w:rPr>
          <w:rFonts w:ascii="Arial" w:hAnsi="Arial" w:eastAsia="Arial"/>
          <w:sz w:val="19"/>
        </w:rPr>
        <w:t>World Engine verwendet Ports-and-Adapters-Semantik mit einem expliziten Eigentümer für jeden Vertrag. Host / Composition Root komponiert den Prozess; Core koordiniert nur genehmigte Use Cases; Implementierungsabhängigkeiten zeigen zu Abstraktionen und müssen einen DAG bilden.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ADR-008 · Dependency Semantics, Contract Ownership &amp; Composition Root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Typen architektonischer Beziehungen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75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Relation</w:t>
            </w:r>
          </w:p>
        </w:tc>
        <w:tc>
          <w:tcPr>
            <w:tcW w:type="dxa" w:w="351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4139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Normative rule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Static dependency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Import/Referenz zwischen Implementation Units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Dependency Graph prüft sie; Zyklen sind verboten.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Runtime call</w:t>
            </w:r>
          </w:p>
        </w:tc>
        <w:tc>
          <w:tcPr>
            <w:tcW w:type="dxa" w:w="351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Aufruf zur Laufzeit über einen Vertrag</w:t>
            </w:r>
          </w:p>
        </w:tc>
        <w:tc>
          <w:tcPr>
            <w:tcW w:type="dxa" w:w="4139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Bedeutet keine umgekehrte static dependency.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Semantische Nachricht ohne immediate result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 ≠ Command ≠ Query; Event Engine ist kein RPC.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Data flow</w:t>
            </w:r>
          </w:p>
        </w:tc>
        <w:tc>
          <w:tcPr>
            <w:tcW w:type="dxa" w:w="351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Übertragung von Snapshot/Evidence/Payload</w:t>
            </w:r>
          </w:p>
        </w:tc>
        <w:tc>
          <w:tcPr>
            <w:tcW w:type="dxa" w:w="4139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Überträgt Ownership nicht automatisch.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Ownership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Verantwortung für Semantik, Regeln und Mutation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Genau ein expliziter Owner pro Concern.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Lifecycle wiring</w:t>
            </w:r>
          </w:p>
        </w:tc>
        <w:tc>
          <w:tcPr>
            <w:tcW w:type="dxa" w:w="351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Erzeugung, Startup, Readiness, Shutdown</w:t>
            </w:r>
          </w:p>
        </w:tc>
        <w:tc>
          <w:tcPr>
            <w:tcW w:type="dxa" w:w="4139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Gehört Host / Composition Root.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Ownership und Composition 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948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6463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Application Host / Composition Root</w:t>
            </w:r>
          </w:p>
        </w:tc>
        <w:tc>
          <w:tcPr>
            <w:tcW w:type="dxa" w:w="64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Construction, explicit DI, top-level startup/shutdown, application readiness aggregation</w:t>
            </w:r>
          </w:p>
        </w:tc>
      </w:tr>
      <w:tr>
        <w:trPr>
          <w:cantSplit/>
        </w:trPr>
        <w:tc>
          <w:tcPr>
            <w:tcW w:type="dxa" w:w="2948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type="dxa" w:w="6463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Simulation-/Use-Case-Koordination und Core-eigener State; nicht der globale Objektgraph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 Engine</w:t>
            </w:r>
          </w:p>
        </w:tc>
        <w:tc>
          <w:tcPr>
            <w:tcW w:type="dxa" w:w="64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 Transport, Delivery Policy, Retry/Backpressure; nicht Domain Truth</w:t>
            </w:r>
          </w:p>
        </w:tc>
      </w:tr>
      <w:tr>
        <w:trPr>
          <w:cantSplit/>
        </w:trPr>
        <w:tc>
          <w:tcPr>
            <w:tcW w:type="dxa" w:w="2948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Scheduler</w:t>
            </w:r>
          </w:p>
        </w:tc>
        <w:tc>
          <w:tcPr>
            <w:tcW w:type="dxa" w:w="6463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Timing und Trigger; keine Rückabhängigkeit auf Core oder direkte Save-Manager-Abhängigkeit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Save Manager</w:t>
            </w:r>
          </w:p>
        </w:tc>
        <w:tc>
          <w:tcPr>
            <w:tcW w:type="dxa" w:w="64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Save Contract, Checkpoint Promotion, Restore Validation und atomare Activation Orchestration</w:t>
            </w:r>
          </w:p>
        </w:tc>
      </w:tr>
      <w:tr>
        <w:trPr>
          <w:cantSplit/>
        </w:trPr>
        <w:tc>
          <w:tcPr>
            <w:tcW w:type="dxa" w:w="2948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Repository / Persistence</w:t>
            </w:r>
          </w:p>
        </w:tc>
        <w:tc>
          <w:tcPr>
            <w:tcW w:type="dxa" w:w="6463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Physische Speichermechanik hinter dedizierten Ports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AI Adapter</w:t>
            </w:r>
          </w:p>
        </w:tc>
        <w:tc>
          <w:tcPr>
            <w:tcW w:type="dxa" w:w="64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Einzige AI Capability-/Transport-/Security-Grenze</w:t>
            </w:r>
          </w:p>
        </w:tc>
      </w:tr>
      <w:tr>
        <w:trPr>
          <w:cantSplit/>
        </w:trPr>
        <w:tc>
          <w:tcPr>
            <w:tcW w:type="dxa" w:w="2948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Plugin Registry / Repository</w:t>
            </w:r>
          </w:p>
        </w:tc>
        <w:tc>
          <w:tcPr>
            <w:tcW w:type="dxa" w:w="6463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Plugin Discovery-/Profile-Evidence und persistierte Baseline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Game Adapter</w:t>
            </w:r>
          </w:p>
        </w:tc>
        <w:tc>
          <w:tcPr>
            <w:tcW w:type="dxa" w:w="64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Game-spezifische Übersetzung und Capability-Implementierung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ADR-008 · Dependency Semantics, Contract Ownership &amp; Composition Root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Zulässige Ports und Interaction Paths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Application/Core → Save Manager Command-/Use-Case-Port ist für manuelles Save/Load erlaubt; Autosave läuft Scheduler → Event Engine: AutosaveDue → Save Manager Subscriber.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Game Adapter → Game Ingress Port für normalisierte Eingaben; Application/Integration → Game Output/Capability Port, implementiert durch den Adapter.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Approved Consumer → AI Adapter → Context Manager → Provider Abstraction → Provider. Core ist kein generischer AI Consumer.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→ Repository ist nur als separater, schmaler Core-eigener Status-/Persistenzport nach starkem Architecture Gate zulässig; generisches CRUD ist verboten.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SaveParticipants werden Save Manager über explizite Registration-/Composition-Wiring übergeben; Runtime Module Lookup und Service Locator sind verboten.</w:t>
      </w:r>
    </w:p>
    <w:p>
      <w:pPr>
        <w:pStyle w:val="Heading2"/>
        <w:keepNext/>
      </w:pPr>
      <w:r>
        <w:rPr>
          <w:rFonts w:ascii="Arial" w:hAnsi="Arial" w:eastAsia="Arial"/>
          <w:b/>
          <w:color w:val="138A8A"/>
          <w:sz w:val="22"/>
        </w:rPr>
        <w:t>Canonical interaction map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Host / Composition Root -&gt; components : construct + wire + lifecycle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Scheduler -&gt; Event Engine : AutosaveDue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Application/Core -&gt; Save Manager : explicit Save/Load use-case port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Game Adapter -&gt; Game Ingress Port : normalized input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Application -&gt; Game Output/Capability Port &lt;- Game Adapter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Approved Consumer -&gt; AI Adapter -&gt; Context Manager -&gt; Provider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Domain owner -&gt; dedicated repository port &lt;- persistence implementation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Layer Placement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701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02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Owns</w:t>
            </w:r>
          </w:p>
        </w:tc>
        <w:tc>
          <w:tcPr>
            <w:tcW w:type="dxa" w:w="4309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Dependency rule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Domain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Entities, Policies, Invariants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Importiert weder Adapter, SQLite, Provider SDK noch Game SDK.</w:t>
            </w:r>
          </w:p>
        </w:tc>
      </w:tr>
      <w:tr>
        <w:trPr>
          <w:cantSplit/>
        </w:trPr>
        <w:tc>
          <w:tcPr>
            <w:tcW w:type="dxa" w:w="1701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Application</w:t>
            </w:r>
          </w:p>
        </w:tc>
        <w:tc>
          <w:tcPr>
            <w:tcW w:type="dxa" w:w="3402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Use Cases, Coordination, owned Ports</w:t>
            </w:r>
          </w:p>
        </w:tc>
        <w:tc>
          <w:tcPr>
            <w:tcW w:type="dxa" w:w="4309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Hängt von Contracts statt konkreter Infrastructure ab.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Infrastructure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Repository Implementations, Transports, Providers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Implementiert nach innen gerichtete Ports.</w:t>
            </w:r>
          </w:p>
        </w:tc>
      </w:tr>
      <w:tr>
        <w:trPr>
          <w:cantSplit/>
        </w:trPr>
        <w:tc>
          <w:tcPr>
            <w:tcW w:type="dxa" w:w="1701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Host</w:t>
            </w:r>
          </w:p>
        </w:tc>
        <w:tc>
          <w:tcPr>
            <w:tcW w:type="dxa" w:w="3402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Composition und Process Lifecycle</w:t>
            </w:r>
          </w:p>
        </w:tc>
        <w:tc>
          <w:tcPr>
            <w:tcW w:type="dxa" w:w="4309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Einziger Ort für top-level Wiring.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ADR-008 · Dependency Semantics, Contract Ownership &amp; Composition Root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Lifecycle, Readiness und Authoritative State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Eine Komponente meldet eigene Readiness-/Capability-Evidence; Host aggregiert Application-Level Ready, Degraded, Startup Failed oder Recovery Required.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Eine optionale Capability darf Ready nicht fälschlich blockieren, ihr Fehlen muss aber gemäß Policy ehrlich als Degraded/Unavailable erscheinen.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Restore verwendet einen non-live Candidate: deserialize → stage all participants → cross-participant validation → atomic logical activation; Normalbetrieb beginnt erst nach Erfolg.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Ein Committed Save ist ein persistierter/wiederherstellbarer Checkpoint, nicht eine kontinuierlich aktuelle Live-State-Authority.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Security und Failure Boundaries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External-/Plugin-/AI-Input ist untrusted und durchläuft Schema-, Größen-, Timeout-, Permission- und deterministische Validierung.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AI, Plugin Detection und Game Adapter besitzen weder direkten SQLite-Zugriff noch das Recht, fremden Domain State zu ändern.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Secrets werden durch Configuration Subsystem/Host aufgelöst; Raw Configuration und Credentials werden nicht über eine globale Registry verteilt.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Eine Failure Boundary darf nach partieller Persistence oder Restore Activation keinen Erfolg melden.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Mandatory invariants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No Service Locator / global mutable module registry.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No direct SQLite access outside persistence implementation.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No AI/provider authority over deterministic domain state.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No partial logical activation after failed restore validation.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No unlabeled arrow may be used to justify an implementation dependency.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ADR-008 · Dependency Semantics, Contract Ownership &amp; Composition Root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8. Folgen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175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765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Vorteil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Mechanisch prüfbarer DAG, klares Contract Ownership, austauschbare Infrastructure Adapter.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Kosten</w:t>
            </w:r>
          </w:p>
        </w:tc>
        <w:tc>
          <w:tcPr>
            <w:tcW w:type="dxa" w:w="7654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Mehr schmale Interfaces, Composition Wiring, Contract Tests und Traceability.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Risiko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Zu generische Ports können erneut einen Service Locator erzeugen; das ist ein Architecture Defect.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Governance</w:t>
            </w:r>
          </w:p>
        </w:tc>
        <w:tc>
          <w:tcPr>
            <w:tcW w:type="dxa" w:w="7654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Neue Cross-Module Dependency, Contract-Ownership-Änderung oder Process Boundary erfordert ADR/Review.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9. Acceptance Criteria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Der statische Dependency Graph enthält keine gerichteten Implementierungszyklen.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Jede Diagrammkante besitzt einen Relation Type oder wird durch eine Legende eindeutig bestimmt.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Keine konkrete Core→Scheduler-Rückkante, direkte Scheduler→Save-Manager-Kante, kein Core→Game-Adapter-Zyklus, kein generisches Core→Repository CRUD und kein generisches Core→AI.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RU-/DE-Artefakte enthalten dieselben normativen Regeln und Version-/Status-Metadaten.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Architecture-, ADR- und MOD-Dokumente verwenden dasselbe Ownership für Lifecycle, Ports und Authoritative State.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10. Supersession und Traceability</w:t>
      </w:r>
    </w:p>
    <w:p>
      <w:pPr>
        <w:keepLines/>
      </w:pPr>
      <w:r>
        <w:rPr>
          <w:rFonts w:ascii="Arial" w:hAnsi="Arial" w:eastAsia="Arial"/>
          <w:sz w:val="19"/>
        </w:rPr>
        <w:t>ADR-008 entfernt ADR-001–007 nicht. Bei widersprüchlichen Auslegungen bestimmen dieser Record und die zugehörigen v1.1/v1.2 Amendments World Engine Version 1.x. Historische v1.0-Dokumente bleiben als Entscheidungskontext verfügbar.</w:t>
      </w:r>
    </w:p>
    <w:p>
      <w:pPr>
        <w:keepLines/>
      </w:pPr>
      <w:r>
        <w:rPr>
          <w:rFonts w:ascii="Arial" w:hAnsi="Arial" w:eastAsia="Arial"/>
          <w:sz w:val="19"/>
        </w:rPr>
        <w:t>AUDIT-001–009; ARCH-004 v1.4; ARCH-005 v1.4; ARCH-006 v1.2; ARCH-007 v4; ARCH-008–012 audited; MOD-001 v1.2.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v1.0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decision from the approved repository audit baseline.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ADR-008 — Dependency Semantics, Contract Ownership &amp; Composition Root (DE)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