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ADR-008 — Dependency Semantics, Contract Ownership &amp; Composition Root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Proposed Audited v1.0 · нормативное решение для World Engine Version 1.x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New audited decision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Architecture decision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Статус и контекст</w:t>
      </w:r>
    </w:p>
    <w:p>
      <w:pPr>
        <w:keepLines/>
      </w:pPr>
      <w:r>
        <w:rPr>
          <w:rFonts w:ascii="Arial" w:hAnsi="Arial" w:eastAsia="Arial"/>
          <w:sz w:val="19"/>
        </w:rPr>
        <w:t>Предложено после architecture audit. После принятия это ADR становится общей интерпретационной основой для ADR-001–007 и ARCH-001–012.</w:t>
      </w:r>
    </w:p>
    <w:p>
      <w:pPr>
        <w:pStyle w:val="Heading2"/>
        <w:keepNext/>
      </w:pPr>
      <w:r>
        <w:rPr>
          <w:rFonts w:ascii="Arial" w:hAnsi="Arial" w:eastAsia="Arial"/>
          <w:b/>
          <w:color w:val="138A8A"/>
          <w:sz w:val="22"/>
        </w:rPr>
        <w:t>Контекст</w:t>
      </w:r>
    </w:p>
    <w:p>
      <w:pPr>
        <w:keepLines/>
      </w:pPr>
      <w:r>
        <w:rPr>
          <w:rFonts w:ascii="Arial" w:hAnsi="Arial" w:eastAsia="Arial"/>
          <w:sz w:val="19"/>
        </w:rPr>
        <w:t>Ранее документы смешивали статические зависимости, runtime-вызовы, события, data flow, владение и lifecycle wiring. Одинаковые стрелки допускали противоположные трактовки и скрывали циклы Core↔Scheduler, Core↔Game Adapter и широкие зависимости Core от Repository/AI.</w:t>
      </w:r>
    </w:p>
    <w:p>
      <w:pPr>
        <w:pStyle w:val="Heading2"/>
        <w:keepNext/>
      </w:pPr>
      <w:r>
        <w:rPr>
          <w:rFonts w:ascii="Arial" w:hAnsi="Arial" w:eastAsia="Arial"/>
          <w:b/>
          <w:color w:val="138A8A"/>
          <w:sz w:val="22"/>
        </w:rPr>
        <w:t>Решение</w:t>
      </w:r>
    </w:p>
    <w:p>
      <w:pPr>
        <w:keepLines/>
      </w:pPr>
      <w:r>
        <w:rPr>
          <w:rFonts w:ascii="Arial" w:hAnsi="Arial" w:eastAsia="Arial"/>
          <w:sz w:val="19"/>
        </w:rPr>
        <w:t>World Engine применяет ports-and-adapters semantics с явным владельцем каждого контракта. Host / Composition Root собирает процесс; Core координирует только утверждённые use cases; implementation dependencies направлены к абстракциям и должны образовывать DAG.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Типы архитектурных отношений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75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Relation</w:t>
            </w:r>
          </w:p>
        </w:tc>
        <w:tc>
          <w:tcPr>
            <w:tcW w:type="dxa" w:w="351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4139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Нормативное правило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Static dependency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Import/reference между implementation units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Проверяется dependency graph; цикл запрещён.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Runtime call</w:t>
            </w:r>
          </w:p>
        </w:tc>
        <w:tc>
          <w:tcPr>
            <w:tcW w:type="dxa" w:w="351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Вызов во время выполнения через контракт</w:t>
            </w:r>
          </w:p>
        </w:tc>
        <w:tc>
          <w:tcPr>
            <w:tcW w:type="dxa" w:w="413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Не означает обратную static dependency.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Семантическое уведомление без immediate result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 ≠ Command ≠ Query; Event Engine не RPC.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Data flow</w:t>
            </w:r>
          </w:p>
        </w:tc>
        <w:tc>
          <w:tcPr>
            <w:tcW w:type="dxa" w:w="351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Передача снимка/evidence/payload</w:t>
            </w:r>
          </w:p>
        </w:tc>
        <w:tc>
          <w:tcPr>
            <w:tcW w:type="dxa" w:w="413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Не передаёт ownership автоматически.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Ownership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Ответственность за семантику, правила и изменение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Ровно один явный owner на concern.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Lifecycle wiring</w:t>
            </w:r>
          </w:p>
        </w:tc>
        <w:tc>
          <w:tcPr>
            <w:tcW w:type="dxa" w:w="351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Создание, startup, readiness, shutdown</w:t>
            </w:r>
          </w:p>
        </w:tc>
        <w:tc>
          <w:tcPr>
            <w:tcW w:type="dxa" w:w="413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Принадлежит Host / Composition Root.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Владение и Composition 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948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6463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Application Host / Composition Root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Construction, explicit DI, top-level startup/shutdown, application readiness aggregation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Simulation/use-case coordination and Core-owned state; not global object graph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 Engine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 transport, delivery policy, retry/backpressure; not domain truth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Scheduler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Timing and triggers; no reverse Core or direct Save Manager dependency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Save Manager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Save Contract, checkpoint promotion, restore validation and atomic activation orchestration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Repository / Persistence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Physical storage mechanics behind dedicated ports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AI Adapter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Single AI capability/transport/security boundary</w:t>
            </w:r>
          </w:p>
        </w:tc>
      </w:tr>
      <w:tr>
        <w:trPr>
          <w:cantSplit/>
        </w:trPr>
        <w:tc>
          <w:tcPr>
            <w:tcW w:type="dxa" w:w="2948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Plugin Registry / Repository</w:t>
            </w:r>
          </w:p>
        </w:tc>
        <w:tc>
          <w:tcPr>
            <w:tcW w:type="dxa" w:w="6463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Plugin discovery/profile evidence and persisted baseline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Game Adapter</w:t>
            </w:r>
          </w:p>
        </w:tc>
        <w:tc>
          <w:tcPr>
            <w:tcW w:type="dxa" w:w="64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Game-specific translation and capability implementation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Разрешённые ports и interaction paths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Application/Core → Save Manager command/use-case port разрешён для manual Save/Load; scheduled autosave идёт Scheduler → Event Engine: AutosaveDue → Save Manager subscriber.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→ Game Ingress Port для нормализованных входов; application/integration → Game Output/Capability Port, реализованный adapter.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Approved Consumer → AI Adapter → Context Manager → Provider Abstraction → Provider. Core не generic AI consumer.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→ Repository допускается только как отдельный узкий Core-owned status/persistence port после strong architecture gate; generic CRUD запрещён.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SaveParticipants передаются Save Manager явной registration/composition wiring; runtime module lookup и Service Locator запрещены.</w:t>
      </w:r>
    </w:p>
    <w:p>
      <w:pPr>
        <w:pStyle w:val="Heading2"/>
        <w:keepNext/>
      </w:pPr>
      <w:r>
        <w:rPr>
          <w:rFonts w:ascii="Arial" w:hAnsi="Arial" w:eastAsia="Arial"/>
          <w:b/>
          <w:color w:val="138A8A"/>
          <w:sz w:val="22"/>
        </w:rPr>
        <w:t>Canonical interaction map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Host / Composition Root -&gt; components : construct + wire + lifecycle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Scheduler -&gt; Event Engine : AutosaveDue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Application/Core -&gt; Save Manager : explicit Save/Load use-case port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Game Adapter -&gt; Game Ingress Port : normalized input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Application -&gt; Game Output/Capability Port &lt;- Game Adapter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Approved Consumer -&gt; AI Adapter -&gt; Context Manager -&gt; Provider</w:t>
      </w:r>
    </w:p>
    <w:p>
      <w:pPr>
        <w:pStyle w:val="CodeBlock"/>
        <w:keepLines/>
      </w:pPr>
      <w:r>
        <w:rPr>
          <w:rFonts w:ascii="Arial" w:hAnsi="Arial" w:eastAsia="Arial"/>
          <w:sz w:val="19"/>
        </w:rPr>
        <w:t>Domain owner -&gt; dedicated repository port &lt;- persistence implementation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Layer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701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2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Владеет</w:t>
            </w:r>
          </w:p>
        </w:tc>
        <w:tc>
          <w:tcPr>
            <w:tcW w:type="dxa" w:w="4309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Правило зависимости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Domain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Entities, policies, invariants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Не импортирует adapters, SQLite, provider SDK или game SDK.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Application</w:t>
            </w:r>
          </w:p>
        </w:tc>
        <w:tc>
          <w:tcPr>
            <w:tcW w:type="dxa" w:w="3402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Use cases, coordination, owned ports</w:t>
            </w:r>
          </w:p>
        </w:tc>
        <w:tc>
          <w:tcPr>
            <w:tcW w:type="dxa" w:w="430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Зависит от contracts, а не concrete infrastructure.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Infrastructure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Repository implementations, transports, providers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Реализует inward-facing ports.</w:t>
            </w:r>
          </w:p>
        </w:tc>
      </w:tr>
      <w:tr>
        <w:trPr>
          <w:cantSplit/>
        </w:trPr>
        <w:tc>
          <w:tcPr>
            <w:tcW w:type="dxa" w:w="1701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Host</w:t>
            </w:r>
          </w:p>
        </w:tc>
        <w:tc>
          <w:tcPr>
            <w:tcW w:type="dxa" w:w="3402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Composition and process lifecycle</w:t>
            </w:r>
          </w:p>
        </w:tc>
        <w:tc>
          <w:tcPr>
            <w:tcW w:type="dxa" w:w="4309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Единственное место top-level wiring.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Lifecycle, readiness и authoritative state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Компонент сообщает собственную readiness/capability evidence; Host агрегирует application-level Ready, Degraded, Startup Failed или Recovery Required.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Optional capability не должна ложно блокировать Ready, но её отсутствие должно быть честно отражено как Degraded/Unavailable по policy.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Restore выполняется через non-live candidate: deserialize → stage all participants → cross-participant validation → atomic logical activation; normal operation возобновляется только после успеха.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Committed Save является persisted/restorable checkpoint, а не непрерывно актуальным live-state authority.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Security и failure boundaries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External/plugin/AI input является untrusted и проходит schema, size, timeout, permission и deterministic validation.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AI, Plugin Detection и Game Adapter не имеют прямого SQLite access или права менять чужой domain state.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Секреты разрешает Configuration Subsystem/Host; raw configuration и credentials не распространяются через глобальный registry.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Failure boundary не может сообщать success после частичной persistence или restore activation.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Mandatory invariants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Service Locator / global mutable module registry.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direct SQLite access outside persistence implementation.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AI/provider authority over deterministic domain state.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partial logical activation after failed restore validation.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No unlabeled arrow may be used to justify an implementation dependency.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ADR-008 · Dependency Semantics, Contract Ownership &amp; Composition Root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8. Последствия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175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765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Плюс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Механически проверяемый DAG, ясное contract ownership, заменяемые infrastructure adapters.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Цена</w:t>
            </w:r>
          </w:p>
        </w:tc>
        <w:tc>
          <w:tcPr>
            <w:tcW w:type="dxa" w:w="7654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Больше узких интерфейсов, composition wiring, contract tests и traceability.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Риск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Чрезмерно generic ports могут снова создать Service Locator; это architecture defect.</w:t>
            </w:r>
          </w:p>
        </w:tc>
      </w:tr>
      <w:tr>
        <w:trPr>
          <w:cantSplit/>
        </w:trPr>
        <w:tc>
          <w:tcPr>
            <w:tcW w:type="dxa" w:w="1757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Governance</w:t>
            </w:r>
          </w:p>
        </w:tc>
        <w:tc>
          <w:tcPr>
            <w:tcW w:type="dxa" w:w="7654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Новая cross-module dependency, contract ownership change или process boundary требует ADR/review.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9. Acceptance criteria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Static dependency graph не содержит directed implementation cycles.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Каждая diagram edge имеет тип relation либо однозначно определяется legend.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Нет concrete Core→Scheduler reverse edge, Scheduler→Save Manager direct edge, Core→Game Adapter cycle, generic Core→Repository CRUD или generic Core→AI.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RU/DE artifacts сохраняют одинаковые normative rules и version/status metadata.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Architecture, ADR и MOD документы ссылаются на одно и то же владение lifecycle, ports и authoritative state.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10. Supersession и traceability</w:t>
      </w:r>
    </w:p>
    <w:p>
      <w:pPr>
        <w:keepLines/>
      </w:pPr>
      <w:r>
        <w:rPr>
          <w:rFonts w:ascii="Arial" w:hAnsi="Arial" w:eastAsia="Arial"/>
          <w:sz w:val="19"/>
        </w:rPr>
        <w:t>ADR-008 не удаляет ADR-001–007. При конфликте трактовок эта запись и соответствующие v1.1/v1.2 amendments определяют World Engine Version 1.x. Исторические v1.0 документы остаются доступными как контекст решения.</w:t>
      </w:r>
    </w:p>
    <w:p>
      <w:pPr>
        <w:keepLines/>
      </w:pPr>
      <w:r>
        <w:rPr>
          <w:rFonts w:ascii="Arial" w:hAnsi="Arial" w:eastAsia="Arial"/>
          <w:sz w:val="19"/>
        </w:rPr>
        <w:t>AUDIT-001–009; ARCH-004 v1.4; ARCH-005 v1.4; ARCH-006 v1.2; ARCH-007 v4; ARCH-008–012 audited; MOD-001 v1.2.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v1.0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decision from the approved repository audit baseline.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ADR-008 — Dependency Semantics, Contract Ownership &amp; Composition Root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