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1100" w:after="24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>MODULE SPECIFICATION</w:t>
      </w:r>
    </w:p>
    <w:p>
      <w:pPr>
        <w:keepLines/>
        <w:spacing w:before="0" w:after="280"/>
        <w:jc w:val="center"/>
      </w:pPr>
      <w:r>
        <w:rPr>
          <w:rFonts w:ascii="Arial" w:hAnsi="Arial" w:eastAsia="Arial"/>
          <w:b/>
          <w:i w:val="0"/>
          <w:color w:val="000000"/>
          <w:sz w:val="64"/>
        </w:rPr>
        <w:t>MOD-001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48"/>
        </w:rPr>
        <w:t>Core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Vollständige auditierte Spezifikation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 w:val="0"/>
          <w:color w:val="000000"/>
          <w:sz w:val="22"/>
        </w:rPr>
        <w:t>Deutsche Fassung · v1.2 · Architecture Audited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 w:val="0"/>
          <w:i w:val="0"/>
          <w:color w:val="000000"/>
          <w:sz w:val="21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World Engine</w:t>
      </w:r>
    </w:p>
    <w:p>
      <w:pPr>
        <w:keepLines/>
        <w:spacing w:before="0" w:after="500"/>
        <w:jc w:val="center"/>
      </w:pPr>
      <w:r>
        <w:rPr>
          <w:rFonts w:ascii="Arial" w:hAnsi="Arial" w:eastAsia="Arial"/>
          <w:b w:val="0"/>
          <w:i w:val="0"/>
          <w:color w:val="000000"/>
          <w:sz w:val="21"/>
        </w:rPr>
        <w:t>Owner / Autor: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8"/>
        </w:rPr>
        <w:t>Baseline: audit/architecture-consistency-2026-09-01; ADR-008 und AUDIT-018 C1–C6 sind integriert. Statische Abhängigkeiten werden durch ARCH-005/DEPS bestimmt; Workflow-Pfeile erzeugen keine Abhängigkeiten.</w:t>
      </w:r>
    </w:p>
    <w:p>
      <w:r>
        <w:br w:type="page"/>
      </w:r>
    </w:p>
    <w:p>
      <w:pPr>
        <w:pStyle w:val="Heading1"/>
        <w:spacing w:before="0"/>
      </w:pPr>
      <w:r>
        <w:t>Dokumentkontrolle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4498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Feld</w:t>
            </w:r>
          </w:p>
        </w:tc>
        <w:tc>
          <w:tcPr>
            <w:tcW w:type="dxa" w:w="5725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Wert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Project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World Engine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Module ID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MOD-001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Module Name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Core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Layer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Coordination / Application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Version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1.2 Architecture Audited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Status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Documentation Complete / Repository Publication Gate Pending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Target Release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Version 1.0</w:t>
            </w:r>
          </w:p>
        </w:tc>
      </w:tr>
      <w:tr>
        <w:trPr>
          <w:cantSplit w:val="true"/>
        </w:trPr>
        <w:tc>
          <w:tcPr>
            <w:tcW w:type="dxa" w:w="449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Owner / Autor</w:t>
            </w:r>
          </w:p>
        </w:tc>
        <w:tc>
          <w:tcPr>
            <w:tcW w:type="dxa" w:w="572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7"/>
              </w:rPr>
              <w:t>Andrii Drahulskyi</w:t>
            </w:r>
          </w:p>
        </w:tc>
      </w:tr>
    </w:tbl>
    <w:p>
      <w:pPr>
        <w:spacing w:after="0"/>
      </w:pPr>
    </w:p>
    <w:p>
      <w:pPr>
        <w:pStyle w:val="Heading1"/>
      </w:pPr>
      <w:r>
        <w:t>Spezifikationsübersicht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226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Teil</w:t>
            </w:r>
          </w:p>
        </w:tc>
        <w:tc>
          <w:tcPr>
            <w:tcW w:type="dxa" w:w="695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Titel</w:t>
            </w:r>
          </w:p>
        </w:tc>
        <w:tc>
          <w:tcPr>
            <w:tcW w:type="dxa" w:w="2044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Version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01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Modulüberblick, Grenzen und Verantwortung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02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Funktionale und nichtfunktionale Anforderungen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03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Abhängigkeiten, Ein-/Ausgaben und öffentliche Verträge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04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Interne Komponenten, Events, Daten und Zustand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05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Lifecycle, Start, Stopp und Recovery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06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Konfiguration, Health, Readiness und Policy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07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Performance, Sicherheit, Concurrency und Fehler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08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Teststrategie, Acceptance und Traceability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09</w:t>
            </w:r>
          </w:p>
        </w:tc>
        <w:tc>
          <w:tcPr>
            <w:tcW w:type="dxa" w:w="695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Diagramme, Governance und Abschlussregeln</w:t>
            </w:r>
          </w:p>
        </w:tc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v1.2 Audited</w:t>
            </w:r>
          </w:p>
        </w:tc>
      </w:tr>
    </w:tbl>
    <w:p>
      <w:pPr>
        <w:spacing w:after="0"/>
      </w:pPr>
    </w:p>
    <w:p>
      <w:pPr>
        <w:spacing w:before="40"/>
        <w:jc w:val="left"/>
      </w:pPr>
      <w:r>
        <w:rPr>
          <w:rFonts w:ascii="Arial" w:hAnsi="Arial" w:eastAsia="Arial"/>
          <w:i/>
          <w:color w:val="666666"/>
          <w:sz w:val="17"/>
        </w:rPr>
        <w:t>Kanonische Quelle: MOD-001_Core_Architecture_Audited_Source_v1_2.md mit verbindlicher Correction Freeze AUDIT-018.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Teil 01 — Modulüberblick, Grenzen und Verantwortung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Deutsche Fassung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Owner / Autor: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Kanonische Quelle: MOD-001_Core_Architecture_Audited_Source_v1_2.md mit verbindlicher Correction Freeze AUDIT-018.</w:t>
      </w:r>
    </w:p>
    <w:p>
      <w:r>
        <w:br w:type="page"/>
      </w:r>
    </w:p>
    <w:p>
      <w:pPr>
        <w:pStyle w:val="Heading1"/>
        <w:spacing w:before="0"/>
      </w:pPr>
      <w:r>
        <w:t>Teil 01 · Modulüberblick, Grenzen und Verantwortung</w:t>
      </w:r>
    </w:p>
    <w:p>
      <w:pPr>
        <w:pStyle w:val="Heading2"/>
      </w:pPr>
      <w:r>
        <w:t>1. Zweck und Architekturposition</w:t>
      </w: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MOD-001 Core ist die zentrale Koordinationskomponente für Anwendungsszenarien der World Engine. Core nimmt normalisierte Eingaben an, ruft schmale Use-Case-Verträge auf und liefert typisierte Ergebnisse zurück, ohne Domänensemantik, Persistenz, Spielintegration, AI-Provider-Verhalten oder Prozesskomposition zu übernehmen.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EDF4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Game Runtime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Game Adapter implementation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Game Ingress Port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MOD-001 Core / Application Coordination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-&gt; Event Engine contract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-&gt; Scheduler control contract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-&gt; Dialogue Use-Case Port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-&gt; Save Manager Command Contract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-&gt; Game Output/Capability Port</w:t>
            </w:r>
          </w:p>
        </w:tc>
      </w:tr>
    </w:tbl>
    <w:p>
      <w:pPr>
        <w:spacing w:after="40"/>
      </w:pP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Application Host / Composition Root liegt außerhalb von MOD-001 und besitzt Objekterzeugung, Dependency Injection, Start-/Stopp-Reihenfolge sowie die Aggregation der Anwendungsbereitschaft.</w:t>
      </w:r>
    </w:p>
    <w:p>
      <w:pPr>
        <w:pStyle w:val="Heading2"/>
      </w:pPr>
      <w:r>
        <w:t>2. Verantwortungseigentum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4805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Core besitzt</w:t>
            </w:r>
          </w:p>
        </w:tc>
        <w:tc>
          <w:tcPr>
            <w:tcW w:type="dxa" w:w="5418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Core besitzt nicht</w:t>
            </w:r>
          </w:p>
        </w:tc>
      </w:tr>
      <w:tr>
        <w:trPr>
          <w:cantSplit w:val="true"/>
        </w:trPr>
        <w:tc>
          <w:tcPr>
            <w:tcW w:type="dxa" w:w="480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Lifecycle-Zustand und dessen Invarianten</w:t>
            </w:r>
          </w:p>
        </w:tc>
        <w:tc>
          <w:tcPr>
            <w:tcW w:type="dxa" w:w="541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Domänenregeln und -zustand von Memory, Character, Dialogue, Relationship, Organization, Economy, Politics oder Quest</w:t>
            </w:r>
          </w:p>
        </w:tc>
      </w:tr>
      <w:tr>
        <w:trPr>
          <w:cantSplit w:val="true"/>
        </w:trPr>
        <w:tc>
          <w:tcPr>
            <w:tcW w:type="dxa" w:w="480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Prüfung normalisierten Ingresses und Auswahl eines expliziten Szenarios</w:t>
            </w:r>
          </w:p>
        </w:tc>
        <w:tc>
          <w:tcPr>
            <w:tcW w:type="dxa" w:w="541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Event-Zustellung, Queues und Scheduler-Timing</w:t>
            </w:r>
          </w:p>
        </w:tc>
      </w:tr>
      <w:tr>
        <w:trPr>
          <w:cantSplit w:val="true"/>
        </w:trPr>
        <w:tc>
          <w:tcPr>
            <w:tcW w:type="dxa" w:w="480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Operationskontext, Korrelation, Deadline/Cancellation</w:t>
            </w:r>
          </w:p>
        </w:tc>
        <w:tc>
          <w:tcPr>
            <w:tcW w:type="dxa" w:w="541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Save-Serialisierung, Restore, Retry, Repository/SQLite</w:t>
            </w:r>
          </w:p>
        </w:tc>
      </w:tr>
      <w:tr>
        <w:trPr>
          <w:cantSplit w:val="true"/>
        </w:trPr>
        <w:tc>
          <w:tcPr>
            <w:tcW w:type="dxa" w:w="480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Normalisierung von Koordinationsresultaten und -fehlern</w:t>
            </w:r>
          </w:p>
        </w:tc>
        <w:tc>
          <w:tcPr>
            <w:tcW w:type="dxa" w:w="541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Game Adapter, Game SDK, AI Provider/Model, Plugin Detection und Config Parsing</w:t>
            </w:r>
          </w:p>
        </w:tc>
      </w:tr>
      <w:tr>
        <w:trPr>
          <w:cantSplit w:val="true"/>
        </w:trPr>
        <w:tc>
          <w:tcPr>
            <w:tcW w:type="dxa" w:w="480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Core-spezifischer Health-/Readiness-Evidence</w:t>
            </w:r>
          </w:p>
        </w:tc>
        <w:tc>
          <w:tcPr>
            <w:tcW w:type="dxa" w:w="541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Bereitschaft der gesamten Anwendung und globalem Recovery</w:t>
            </w:r>
          </w:p>
        </w:tc>
      </w:tr>
    </w:tbl>
    <w:p>
      <w:pPr>
        <w:spacing w:after="0"/>
      </w:pPr>
    </w:p>
    <w:p>
      <w:pPr>
        <w:pStyle w:val="Heading2"/>
      </w:pPr>
      <w:r>
        <w:t>3. Grenzinvarianten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Core bleibt spiel- und providerunabhängig.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Alle benötigten Verträge werden explizit durch Composition Root injiziert; Service Locator und globale Registry sind verboten.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Synchrone Ergebnisse laufen über schmale Command-/Query-/Use-Case-Ports; Event Engine wird nicht als RPC verwendet.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Der statische Abhängigkeitsgraph muss azyklisch bleiben.</w:t>
      </w:r>
    </w:p>
    <w:p>
      <w:pPr>
        <w:pStyle w:val="Heading2"/>
      </w:pPr>
      <w:r>
        <w:t>4. Scope und Priorität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Feld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Wert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Modul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MOD-001 Core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Schicht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Coordination / Application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Priorität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Critical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Version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1.2 Architecture Audited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Status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Vollständige Spezifikation; Implementierung bleibt separat gegated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Plattform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Windows; erste Integration Skyrim; Core bleibt game-agnostic</w:t>
            </w:r>
          </w:p>
        </w:tc>
      </w:tr>
    </w:tbl>
    <w:p>
      <w:pPr>
        <w:spacing w:after="0"/>
      </w:pP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Teil 02 — Funktionale und nichtfunktionale Anforderungen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Deutsche Fassung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Owner / Autor: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Kanonische Quelle: MOD-001_Core_Architecture_Audited_Source_v1_2.md mit verbindlicher Correction Freeze AUDIT-018.</w:t>
      </w:r>
    </w:p>
    <w:p>
      <w:r>
        <w:br w:type="page"/>
      </w:r>
    </w:p>
    <w:p>
      <w:pPr>
        <w:pStyle w:val="Heading1"/>
        <w:spacing w:before="0"/>
      </w:pPr>
      <w:r>
        <w:t>Teil 02 · Funktionale und nichtfunktionale Anforderungen</w:t>
      </w:r>
    </w:p>
    <w:p>
      <w:pPr>
        <w:pStyle w:val="Heading2"/>
      </w:pPr>
      <w:r>
        <w:t>5. Funktionale Anforderungen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044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ID</w:t>
            </w:r>
          </w:p>
        </w:tc>
        <w:tc>
          <w:tcPr>
            <w:tcW w:type="dxa" w:w="8179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Anforderung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FR-CORE-001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Deterministischer Core-Lifecycle und Ablehnung ungültiger Übergänge.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FR-CORE-002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Prüfung von Version, Typ und Kontext des normalisierten Ingresses vor Dispatch.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FR-CORE-003/004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Synchrone Orchestrierung über injizierte schmale Ports; Dialogue wird nur über einen Core-eigenen Use-Case-Port aufgerufen.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FR-CORE-005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Save/Load nur über den High-Level-Save-Manager-Vertrag; direkter Repository-/Database-Zugriff ist verboten.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FR-CORE-006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Spielausgabe nur über den Core-eigenen Game Output/Capability Port.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FR-CORE-007/008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Semantische Ereignisse werden über Event Engine veröffentlicht; Event Engine ist kein RPC.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FR-CORE-009/010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Scheduler wird über einen einseitigen Control-Vertrag verwendet; Autosave bleibt Scheduler -&gt; Event Engine -&gt; Save Manager.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FR-CORE-011/012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Korrelation, Deadline/Cancellation und stabile Fehlernormalisierung an öffentlichen Grenzen.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FR-CORE-013–016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 veröffentlicht nur eigene Readiness, konsumiert typed Config und besitzt weder Raw Config noch generische Persistenz.</w:t>
            </w:r>
          </w:p>
        </w:tc>
      </w:tr>
      <w:tr>
        <w:trPr>
          <w:cantSplit w:val="true"/>
        </w:trPr>
        <w:tc>
          <w:tcPr>
            <w:tcW w:type="dxa" w:w="204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FR-CORE-019–024</w:t>
            </w:r>
          </w:p>
        </w:tc>
        <w:tc>
          <w:tcPr>
            <w:tcW w:type="dxa" w:w="817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Keine konkreten Integration-Imports/Service Locator; explizites DI; Shutdown/Recovery/Result-Routing bleiben auf Core-Ownership begrenzt.</w:t>
            </w:r>
          </w:p>
        </w:tc>
      </w:tr>
    </w:tbl>
    <w:p>
      <w:pPr>
        <w:spacing w:after="0"/>
      </w:pPr>
    </w:p>
    <w:p>
      <w:pPr>
        <w:pStyle w:val="Heading2"/>
      </w:pPr>
      <w:r>
        <w:t>6. Verbindliche Korrekturen C1–C6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1226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Gate</w:t>
            </w:r>
          </w:p>
        </w:tc>
        <w:tc>
          <w:tcPr>
            <w:tcW w:type="dxa" w:w="8997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Normative Regel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C1</w:t>
            </w:r>
          </w:p>
        </w:tc>
        <w:tc>
          <w:tcPr>
            <w:tcW w:type="dxa" w:w="899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Port-Inversion: Core/Application besitzt Dialogue Use-Case Port und Game Output/Capability Port; konkrete Implementierungen hängen von den Ports ab.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C2</w:t>
            </w:r>
          </w:p>
        </w:tc>
        <w:tc>
          <w:tcPr>
            <w:tcW w:type="dxa" w:w="899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Requiredness wird nach aktivem Mode/Profile klassifiziert: Core-baseline, normal-game-mode, mode-dependent, optional.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C3</w:t>
            </w:r>
          </w:p>
        </w:tc>
        <w:tc>
          <w:tcPr>
            <w:tcW w:type="dxa" w:w="899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 sendet nur High-Level Load; Save Manager, State Owner und Host/Activation Gate besitzen Staging/Aktivierung/Rollback.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C4</w:t>
            </w:r>
          </w:p>
        </w:tc>
        <w:tc>
          <w:tcPr>
            <w:tcW w:type="dxa" w:w="899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AI-Readiness für Core ist opt-in. Ohne dokumentierten Core-eigenen Workflow gibt es keine Abhängigkeit; AI-Ausfall ändert Core-Lifecycle nicht automatisch.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C5</w:t>
            </w:r>
          </w:p>
        </w:tc>
        <w:tc>
          <w:tcPr>
            <w:tcW w:type="dxa" w:w="899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Inbound-Event-Callback implementiert einen schmalen Core-eigenen Handler; Registrierung durch Composition Root; Runtime-Zustellung erzeugt keine statische Event Engine -&gt; Core-Abhängigkeit.</w:t>
            </w:r>
          </w:p>
        </w:tc>
      </w:tr>
      <w:tr>
        <w:trPr>
          <w:cantSplit w:val="true"/>
        </w:trPr>
        <w:tc>
          <w:tcPr>
            <w:tcW w:type="dxa" w:w="122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C6</w:t>
            </w:r>
          </w:p>
        </w:tc>
        <w:tc>
          <w:tcPr>
            <w:tcW w:type="dxa" w:w="899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Core-Persistence/Status-Port fehlt standardmäßig und ist nur nach sechs Governance-Gates zulässig.</w:t>
            </w:r>
          </w:p>
        </w:tc>
      </w:tr>
    </w:tbl>
    <w:p>
      <w:pPr>
        <w:spacing w:after="0"/>
      </w:pPr>
    </w:p>
    <w:p>
      <w:pPr>
        <w:pStyle w:val="Heading2"/>
      </w:pPr>
      <w:r>
        <w:t>7. Sechs Gates für einen künftigen Persistence/Status-Port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Eine konkrete Core-eigene Verantwortung lässt sich nicht durch Host/Readiness-Evidence oder einen bestehenden Owner-Vertrag erfüllen.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Der Port ist schmal und klar begrenzt; generisches CRUD/Repository ist verboten.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Ownership, Lifecycle und Migration-Semantik sind dokumentiert.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ARCH-005 ist aktualisiert und Cycle Validation bleibt PASS.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MOD/API-Traceability wird im selben Change Set aktualisiert.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Bei Grenzänderung ist ein eigener ADR beschlossen.</w:t>
      </w:r>
    </w:p>
    <w:p>
      <w:pPr>
        <w:pStyle w:val="Heading2"/>
      </w:pPr>
      <w:r>
        <w:t>8. Nichtfunktionale Anforderungen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NFR-001–003: Determinismus, geringe Kopplung und azyklischer Graph.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NFR-004/005: Austauschbarkeit konkreter Implementierungen und Tests mit Fakes ohne Skyrim/SQLite/AI.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NFR-006/007: begrenzter Ressourcenverbrauch und strukturierte Beobachtbarkeit.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NFR-008: File-/Network-/Database-/Game-/AI-Rechte nicht über die Vertragsoberfläche hinaus erweitern.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NFR-009–011: eine Übergangsautorität, kein Lock über externes Await, Weitergabe von Cancellation.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NFR-012–015: Failure Containment, Config Integrity, game-agnostische Verträge; numerische SLO erst nach Messungen.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Teil 03 — Abhängigkeiten, Ein-/Ausgaben und öffentliche Verträge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Deutsche Fassung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Owner / Autor: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Kanonische Quelle: MOD-001_Core_Architecture_Audited_Source_v1_2.md mit verbindlicher Correction Freeze AUDIT-018.</w:t>
      </w:r>
    </w:p>
    <w:p>
      <w:r>
        <w:br w:type="page"/>
      </w:r>
    </w:p>
    <w:p>
      <w:pPr>
        <w:pStyle w:val="Heading1"/>
        <w:spacing w:before="0"/>
      </w:pPr>
      <w:r>
        <w:t>Teil 03 · Abhängigkeiten, Ein-/Ausgaben und öffentliche Verträge</w:t>
      </w:r>
    </w:p>
    <w:p>
      <w:pPr>
        <w:pStyle w:val="Heading2"/>
      </w:pPr>
      <w:r>
        <w:t>9. Kanonisches Portmodell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EDF4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Core/Application -&gt; Dialogue Use-Case Port &lt;- Dialogue implementation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Core/Application -&gt; Game Output/Capability Port &lt;- Game Adapter implementation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Game Adapter implementation -&gt; Game Ingress Port -&gt; Core/Application</w:t>
            </w:r>
          </w:p>
        </w:tc>
      </w:tr>
    </w:tbl>
    <w:p>
      <w:pPr>
        <w:spacing w:after="40"/>
      </w:pP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Die Pfeile hier bezeichnen statische Abhängigkeit von einer Abstraktion. Runtime Call, Event Delivery, Evidence Flow und Lifecycle Wiring müssen in Diagrammen eigene Legenden besitzen.</w:t>
      </w:r>
    </w:p>
    <w:p>
      <w:pPr>
        <w:pStyle w:val="Heading2"/>
      </w:pPr>
      <w:r>
        <w:t>10. Requiredness nach Betriebsmodus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316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Vertrag / Evidence</w:t>
            </w:r>
          </w:p>
        </w:tc>
        <w:tc>
          <w:tcPr>
            <w:tcW w:type="dxa" w:w="4907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Klasse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Event Engine public contract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Core-baseline required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Scheduler control contract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Core-baseline required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Dialogue Use-Case Port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normal-game-mode required für conversation-capable gameplay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Save Manager Command Contract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Core-baseline required, außer in genehmigtem No-Save-Produktmodus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Game Output/Capability Port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normal-game-mode required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AI readiness/capability evidence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optional/opt-in für dokumentierten Core-eigenen Workflow</w:t>
            </w:r>
          </w:p>
        </w:tc>
      </w:tr>
      <w:tr>
        <w:trPr>
          <w:cantSplit w:val="true"/>
        </w:trPr>
        <w:tc>
          <w:tcPr>
            <w:tcW w:type="dxa" w:w="5316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 persistence/status port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standardmäßig nicht vorhanden; Architektur-Ausnahme</w:t>
            </w:r>
          </w:p>
        </w:tc>
      </w:tr>
    </w:tbl>
    <w:p>
      <w:pPr>
        <w:spacing w:after="0"/>
      </w:pPr>
    </w:p>
    <w:p>
      <w:pPr>
        <w:pStyle w:val="Heading2"/>
      </w:pPr>
      <w:r>
        <w:t>11. Ein- und Ausgaben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Eingaben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Ausgaben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Normalisierter Game/Application Ingress Envelope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Typisiertes Use-Case-Resultat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Explizite Command-/Query-Requests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Game Output/Capability Port Calls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Typed Core Configuration View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Semantische Events über Event Engine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Mode/Profile-Requiredness-Policy und Core-required Evidence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Scheduler Control und Save-/Dialogue-High-Level-Commands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Callbacks über definierte Handler-Verträge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Core-spezifische Readiness/Health/Diagnostics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Korrelation, Deadline, Cancellation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Normalisierte Coordination Errors</w:t>
            </w:r>
          </w:p>
        </w:tc>
      </w:tr>
    </w:tbl>
    <w:p>
      <w:pPr>
        <w:spacing w:after="0"/>
      </w:pPr>
    </w:p>
    <w:p>
      <w:pPr>
        <w:pStyle w:val="Heading2"/>
      </w:pPr>
      <w:r>
        <w:t>12. Logische öffentliche Verträge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3169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Vertrag</w:t>
            </w:r>
          </w:p>
        </w:tc>
        <w:tc>
          <w:tcPr>
            <w:tcW w:type="dxa" w:w="7054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Semantik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 Ingress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Prüft Typ/Version/Kontext und routet nur in explizite Core-Workflows.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 Lifecycle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Start, Stop, GetCoreState, GetCoreReadinessEvidence; durch Host aufgerufen, ohne Runtime Lookup.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Dialogue Use-Case Port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Core-eigene Abstraktion für sofortiges Conversation-Resultat; Dialogue-Implementierung ist austauschbar.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Save Manager Command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High-Level Save/Load Command und typisiertes Resultat; Participant-Lifecycle bleibt vor Core verborgen.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Game Output/Capability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Core-eigene Abstraktion; konkreter Game Adapter implementiert sie.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Event Engine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Semantische Publication/Subscription; schmaler Core-eigener Inbound Handler, Composition Registration, kein RPC.</w:t>
            </w:r>
          </w:p>
        </w:tc>
      </w:tr>
      <w:tr>
        <w:trPr>
          <w:cantSplit w:val="true"/>
        </w:trPr>
        <w:tc>
          <w:tcPr>
            <w:tcW w:type="dxa" w:w="316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Scheduler Control</w:t>
            </w:r>
          </w:p>
        </w:tc>
        <w:tc>
          <w:tcPr>
            <w:tcW w:type="dxa" w:w="70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Core-eigene Registrierung/Cancellation/Control; keine umgekehrte statische Abhängigkeit.</w:t>
            </w:r>
          </w:p>
        </w:tc>
      </w:tr>
    </w:tbl>
    <w:p>
      <w:pPr>
        <w:spacing w:after="0"/>
      </w:pP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Teil 04 — Interne Komponenten, Events, Daten und Zustand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Deutsche Fassung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Owner / Autor: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Kanonische Quelle: MOD-001_Core_Architecture_Audited_Source_v1_2.md mit verbindlicher Correction Freeze AUDIT-018.</w:t>
      </w:r>
    </w:p>
    <w:p>
      <w:r>
        <w:br w:type="page"/>
      </w:r>
    </w:p>
    <w:p>
      <w:pPr>
        <w:pStyle w:val="Heading1"/>
        <w:spacing w:before="0"/>
      </w:pPr>
      <w:r>
        <w:t>Teil 04 · Interne Komponenten, Events, Daten und Zustand</w:t>
      </w:r>
    </w:p>
    <w:p>
      <w:pPr>
        <w:pStyle w:val="Heading2"/>
      </w:pPr>
      <w:r>
        <w:t>13. Interne Zerlegung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3578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Komponente</w:t>
            </w:r>
          </w:p>
        </w:tc>
        <w:tc>
          <w:tcPr>
            <w:tcW w:type="dxa" w:w="6645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Verantwortung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 Lifecycle Controller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Zustand, gültige Übergänge, Serialisierung der Lifecycle-Operationen.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Ingress Router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Validierung und Auswahl dokumentierter Orchestratoren; kein dynamischer Dispatcher.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Use-Case Orchestrators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Kleine Koordinatoren für Conversation, Save/Load und genehmigte game-facing Workflows.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Event Publication Gateway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Übersetzt bestätigte Fakten in Event-Engine-Verträge; besitzt Queue/Delivery nicht.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Scheduler Coordination Gateway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Nutzt den Control-Vertrag; besitzt die Timing Engine nicht.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Operation Context Manager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Korrelation, Deadline, Cancellation und sichere Diagnostik.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 State Store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Nur begrenzte Lifecycle-/Coordination-Metadaten; kein Domain Cache/Registry.</w:t>
            </w:r>
          </w:p>
        </w:tc>
      </w:tr>
      <w:tr>
        <w:trPr>
          <w:cantSplit w:val="true"/>
        </w:trPr>
        <w:tc>
          <w:tcPr>
            <w:tcW w:type="dxa" w:w="357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Readiness Evidence Publisher</w:t>
            </w:r>
          </w:p>
        </w:tc>
        <w:tc>
          <w:tcPr>
            <w:tcW w:type="dxa" w:w="664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Core-spezifischer Evidence für Host/Diagnostics.</w:t>
            </w:r>
          </w:p>
        </w:tc>
      </w:tr>
    </w:tbl>
    <w:p>
      <w:pPr>
        <w:spacing w:after="0"/>
      </w:pPr>
    </w:p>
    <w:p>
      <w:pPr>
        <w:pStyle w:val="Heading2"/>
      </w:pPr>
      <w:r>
        <w:t>14. Events und Callback-Inversion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Core veröffentlicht ein Event erst nach Eintritt des dargestellten Fakts.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Event Publication folgt ADR-002 und ersetzt keine synchrone Antwort.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Core darf einen schmalen Core-eigenen Handler-/Subscriber-Vertrag implementieren.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Composition Root registriert den Handler; Runtime Delivery ist eine Event-Beziehung, keine Event Engine -&gt; Core-Implementierungsabhängigkeit.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Generischer Dispatcher, beliebiger Service Lookup und Event Engine als RPC sind verboten.</w:t>
      </w: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Autosave behält den unabhängigen Pfad Scheduler -&gt; Event Engine : AutosaveDue -&gt; Save Manager Subscriber und läuft nicht über Core.</w:t>
      </w:r>
    </w:p>
    <w:p>
      <w:pPr>
        <w:pStyle w:val="Heading2"/>
      </w:pPr>
      <w:r>
        <w:t>15. Daten- und Zustandsmodell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Core-eigene Struktur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Grenze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CoreLifecycleState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Nur Created, Starting, Ready, Failed/RecoveryRequired, Stopping, Stopped.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CoreReadinessEvidence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Evidence zur Fähigkeit von Core, seinen Vertrag zu erfüllen; kein Anwendungsresultat.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OperationContext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Korrelation, Generation, Deadline/Cancellation; stale-safe.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IngressEnvelope / UseCaseResult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Versionierte Boundary-Typen ohne konkrete Integrationsinterna.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CoordinationError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Stabiler Code/Kategorie, redacted Message, Operationskontext.</w:t>
            </w:r>
          </w:p>
        </w:tc>
      </w:tr>
    </w:tbl>
    <w:p>
      <w:pPr>
        <w:spacing w:after="0"/>
      </w:pP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NPC-/Domain-Aggregate, Save-Artefaktinhalte, AI-Kontexthistorie und generische Repository-Entitäten speichert Core nicht.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Jeder mutable Lifecycle-Zustand hat eine Übergangsautorität.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ApplicationDegraded gehört zur Host-Policy; fehlende optionale AI-/Game-Capability erzeugt nicht automatisch CoreDegraded.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Teil 05 — Lifecycle, Start, Stopp und Recovery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Deutsche Fassung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Owner / Autor: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Kanonische Quelle: MOD-001_Core_Architecture_Audited_Source_v1_2.md mit verbindlicher Correction Freeze AUDIT-018.</w:t>
      </w:r>
    </w:p>
    <w:p>
      <w:r>
        <w:br w:type="page"/>
      </w:r>
    </w:p>
    <w:p>
      <w:pPr>
        <w:pStyle w:val="Heading1"/>
        <w:spacing w:before="0"/>
      </w:pPr>
      <w:r>
        <w:t>Teil 05 · Lifecycle, Start, Stopp und Recovery</w:t>
      </w:r>
    </w:p>
    <w:p>
      <w:pPr>
        <w:pStyle w:val="Heading2"/>
      </w:pPr>
      <w:r>
        <w:t>16. Startup: Host und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EDF4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Configuration -&gt; validated effective configuration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Application Host / Composition Root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construct and inject contracts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start required components by policy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Core.Start(CoreStartContext)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collect scoped evidence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-&gt; decide Application Ready/Degraded/StartupFailed/RecoveryRequired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453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Schritt Core.Start</w:t>
            </w:r>
          </w:p>
        </w:tc>
        <w:tc>
          <w:tcPr>
            <w:tcW w:type="dxa" w:w="7770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Regel</w:t>
            </w:r>
          </w:p>
        </w:tc>
      </w:tr>
      <w:tr>
        <w:trPr>
          <w:cantSplit w:val="true"/>
        </w:trPr>
        <w:tc>
          <w:tcPr>
            <w:tcW w:type="dxa" w:w="2453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1</w:t>
            </w:r>
          </w:p>
        </w:tc>
        <w:tc>
          <w:tcPr>
            <w:tcW w:type="dxa" w:w="777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Lifecycle-Übergang serialisieren.</w:t>
            </w:r>
          </w:p>
        </w:tc>
      </w:tr>
      <w:tr>
        <w:trPr>
          <w:cantSplit w:val="true"/>
        </w:trPr>
        <w:tc>
          <w:tcPr>
            <w:tcW w:type="dxa" w:w="2453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2</w:t>
            </w:r>
          </w:p>
        </w:tc>
        <w:tc>
          <w:tcPr>
            <w:tcW w:type="dxa" w:w="7770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Typed Core Configuration prüfen.</w:t>
            </w:r>
          </w:p>
        </w:tc>
      </w:tr>
      <w:tr>
        <w:trPr>
          <w:cantSplit w:val="true"/>
        </w:trPr>
        <w:tc>
          <w:tcPr>
            <w:tcW w:type="dxa" w:w="2453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3</w:t>
            </w:r>
          </w:p>
        </w:tc>
        <w:tc>
          <w:tcPr>
            <w:tcW w:type="dxa" w:w="777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Vorhandensein, Versionen und Requiredness verpflichtender Ports prüfen.</w:t>
            </w:r>
          </w:p>
        </w:tc>
      </w:tr>
      <w:tr>
        <w:trPr>
          <w:cantSplit w:val="true"/>
        </w:trPr>
        <w:tc>
          <w:tcPr>
            <w:tcW w:type="dxa" w:w="2453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4</w:t>
            </w:r>
          </w:p>
        </w:tc>
        <w:tc>
          <w:tcPr>
            <w:tcW w:type="dxa" w:w="7770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Nur Core-eigenen Zustand/Infrastruktur initialisieren.</w:t>
            </w:r>
          </w:p>
        </w:tc>
      </w:tr>
      <w:tr>
        <w:trPr>
          <w:cantSplit w:val="true"/>
        </w:trPr>
        <w:tc>
          <w:tcPr>
            <w:tcW w:type="dxa" w:w="2453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5</w:t>
            </w:r>
          </w:p>
        </w:tc>
        <w:tc>
          <w:tcPr>
            <w:tcW w:type="dxa" w:w="777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Core-eigene Scheduler-Registrierungen nach Policy einrichten.</w:t>
            </w:r>
          </w:p>
        </w:tc>
      </w:tr>
      <w:tr>
        <w:trPr>
          <w:cantSplit w:val="true"/>
        </w:trPr>
        <w:tc>
          <w:tcPr>
            <w:tcW w:type="dxa" w:w="2453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6</w:t>
            </w:r>
          </w:p>
        </w:tc>
        <w:tc>
          <w:tcPr>
            <w:tcW w:type="dxa" w:w="7770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 Readiness Evidence veröffentlichen; Ready nur bei erfüllten Core-Invarianten.</w:t>
            </w:r>
          </w:p>
        </w:tc>
      </w:tr>
    </w:tbl>
    <w:p>
      <w:pPr>
        <w:spacing w:after="0"/>
      </w:pPr>
    </w:p>
    <w:p>
      <w:pPr>
        <w:pStyle w:val="Heading2"/>
      </w:pPr>
      <w:r>
        <w:t>17. Shutdown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Host besitzt die Top-Level-Shutdown-Reihenfolge.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Core.Stop überführt Ready -&gt; Stopping unter serialisierter Autorität und nimmt keine neuen nichtkritischen Workflows an.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Cancellation/Deadlines werden an aktive Operationen weitergegeben; Abschluss ist begrenzt.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Core storniert nur eigene Scheduler-Registrierungen, schließt eigene Ressourcen und veröffentlicht finalen Evidence.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Shutdown-Save ist ein eigener Save-Use-Case; Save-Semantik verbleibt beim Save Manager.</w:t>
      </w:r>
    </w:p>
    <w:p>
      <w:pPr>
        <w:pStyle w:val="Heading2"/>
      </w:pPr>
      <w:r>
        <w:t>18. Atomic Restore und Aktivierungsgrenze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 w:val="true"/>
        </w:trPr>
        <w:tc>
          <w:tcPr>
            <w:tcW w:type="dxa" w:w="10224"/>
            <w:shd w:fill="EDF4FA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Core -&gt; high-level Load command -&gt; Save Manager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Save Manager -&gt; validate artifact / orchestrate / stage ALL participants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State owners -&gt; apply their own staged state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Host / Activation Gate -&gt; coordinate atomic activation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typed Load outcome -&gt; Core -&gt; resume or fail safely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Teilnehmer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Aktionsbesitzer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Nur High-Level Load Command, typisiertes Resultat und anschließende Workflow-Entscheidung.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Save Manager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Artefaktvalidierung, Restore-Orchestrierung, Staging aller SaveParticipants, Compatibility Decision.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State Owner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Wenden nur ihren eigenen staged state an.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Host / Activation Gate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Koordiniert All-or-Nothing Logical Activation.</w:t>
            </w:r>
          </w:p>
        </w:tc>
      </w:tr>
    </w:tbl>
    <w:p>
      <w:pPr>
        <w:spacing w:after="0"/>
      </w:pP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Core ruft niemals SaveParticipant StageRestore, CommitActivation, AbortActivation, RollbackActivation oder Äquivalente auf und besitzt keinen Restore-Rollback.</w:t>
      </w:r>
    </w:p>
    <w:p>
      <w:pPr>
        <w:pStyle w:val="Heading2"/>
      </w:pPr>
      <w:r>
        <w:t>19. Allgemeine Recovery-Regeln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Ein ungültiger Core-Übergang wird deterministisch abgelehnt.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Ein stale Async-Resultat wird anhand Generation/Korrelation verworfen.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Owner-spezifischer Rollback/Recovery erfolgt beim Subsystembesitzer; Core erhält typisiertes Resultat/Evidence.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AI-Recovery gehört Host/AI Integration, Game-Adapter-Recovery Integration/Host, Persistence-Recovery dem Persistence Owner.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Core darf am Application-Recovery-Gate teilnehmen, ohne globaler Recovery Owner zu werden.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Teil 06 — Konfiguration, Health, Readiness und Policy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Deutsche Fassung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Owner / Autor: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Kanonische Quelle: MOD-001_Core_Architecture_Audited_Source_v1_2.md mit verbindlicher Correction Freeze AUDIT-018.</w:t>
      </w:r>
    </w:p>
    <w:p>
      <w:r>
        <w:br w:type="page"/>
      </w:r>
    </w:p>
    <w:p>
      <w:pPr>
        <w:pStyle w:val="Heading1"/>
        <w:spacing w:before="0"/>
      </w:pPr>
      <w:r>
        <w:t>Teil 06 · Konfiguration, Health, Readiness und Policy</w:t>
      </w:r>
    </w:p>
    <w:p>
      <w:pPr>
        <w:pStyle w:val="Heading2"/>
      </w:pPr>
      <w:r>
        <w:t>20. Konfigurationsgrenze</w:t>
      </w: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Core erhält genau eine unveränderliche, verantwortungsbezogene typisierte Konfigurationssicht. Das Configuration Subsystem besitzt Parse/Schema/Merge/Normalisierung/Secret References, Host verteilt typed Views. Core liest kein Raw YAML und verändert keine globale Config.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Kategorie Core Config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Grenze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Coordination Feature Flags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Nur Core-eigenes Verhalten.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Workflow Timeout/Deadline Defaults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Definieren keinen owner-internen Retry.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Bounded Concurrency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Keine unbounded Queue.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Diagnostics Policy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Redaction und bounded Cardinality.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Scheduler Registration Policy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Nur Core-eigene Registrierungen.</w:t>
            </w:r>
          </w:p>
        </w:tc>
      </w:tr>
    </w:tbl>
    <w:p>
      <w:pPr>
        <w:spacing w:after="0"/>
      </w:pP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Hot Reload ist nur über Candidate Validation und eine kontrollierte ARCH-009-Transaktion zulässig; der aktuelle Snapshot bleibt bis Commit autoritativ.</w:t>
      </w:r>
    </w:p>
    <w:p>
      <w:pPr>
        <w:pStyle w:val="Heading2"/>
      </w:pPr>
      <w:r>
        <w:t>21. Vier Readiness-Scope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Scope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Besitzer und Bedeutung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 Lifecycle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Core: Created/Starting/Ready/Failed-or-RecoveryRequired/Stopping/Stopped.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 Readiness/Health Evidence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Core: Fähigkeit, den eigenen öffentlichen Coordination-Vertrag zu erfüllen.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Sibling Capability Evidence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Jeweiliger Owner; Host aggregiert die Application Policy.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Application Outcome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Host: Ready, Degraded, Startup Failed, Recovery Required.</w:t>
            </w:r>
          </w:p>
        </w:tc>
      </w:tr>
    </w:tbl>
    <w:p>
      <w:pPr>
        <w:spacing w:after="0"/>
      </w:pPr>
    </w:p>
    <w:p>
      <w:pPr>
        <w:pStyle w:val="Heading2"/>
      </w:pPr>
      <w:r>
        <w:t>22. Mode-aware Entscheidung und AI Opt-in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Zuerst werden Compatibility, Generation und Freshness des Evidence geprüft.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Core-baseline-required Gates blockieren Core Ready bei Failure/Missing/Unknown.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Normal-game-mode- und mode-dependent Gates gelten nur für das aktive Mode/Profile.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Optionaler Evidence blockiert Core Ready nicht; Host darf ApplicationDegraded wählen.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AI-Evidence für Core fehlt standardmäßig und entsteht nur aus einem dokumentierten Core-eigenen AI-aware Workflow.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Dialogue oder ein anderer genehmigter Consumer besitzt AI-Verhalten/Fallback; AI unavailable ändert allein den Core-Lifecycle/Readiness nicht.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Teil 07 — Performance, Sicherheit, Concurrency und Fehler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Deutsche Fassung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Owner / Autor: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Kanonische Quelle: MOD-001_Core_Architecture_Audited_Source_v1_2.md mit verbindlicher Correction Freeze AUDIT-018.</w:t>
      </w:r>
    </w:p>
    <w:p>
      <w:r>
        <w:br w:type="page"/>
      </w:r>
    </w:p>
    <w:p>
      <w:pPr>
        <w:pStyle w:val="Heading1"/>
        <w:spacing w:before="0"/>
      </w:pPr>
      <w:r>
        <w:t>Teil 07 · Performance, Sicherheit, Concurrency und Fehler</w:t>
      </w:r>
    </w:p>
    <w:p>
      <w:pPr>
        <w:pStyle w:val="Heading2"/>
      </w:pPr>
      <w:r>
        <w:t>23. Ressourcen, Concurrency und Backpressure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Bereich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Regel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Lifecycle Mutation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Eine serialisierte Übergangsautorität; stale Completion erhält keine Autorität.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Locks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Minimal; niemals über Downstream Await gehalten.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In-flight Operations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Begrenzte Collection, Weitergabe von Cancellation/Deadline.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Queues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Event Engine, Scheduler, Save Manager und AI Integration besitzen ihre Queues; Core dupliziert sie nicht.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Backpressure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Reject/Defer mit begrenztem Reason; Ausfall optionaler Capability beschädigt Core-State nicht.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Performance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Latency-sensitive Ingress-/Use-Case-/Lifecycle-Pfade; numerische SLO erst nach Messung.</w:t>
            </w:r>
          </w:p>
        </w:tc>
      </w:tr>
    </w:tbl>
    <w:p>
      <w:pPr>
        <w:spacing w:after="0"/>
      </w:pPr>
    </w:p>
    <w:p>
      <w:pPr>
        <w:pStyle w:val="Heading2"/>
      </w:pPr>
      <w:r>
        <w:t>24. Security und Trust Boundaries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Keine Game-SDK/API-Typen, SQL/SQLite/Driver, Provider-/Model-SDK oder Secrets in Core.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Kein beliebiger Filesystem-/Process-Zugriff und keine Plugin-Detector-Ausführung.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Kein Service Locator/globale Registry und keine Runtime-Config-Mutation außerhalb ARCH-009.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Diagnostics redigieren Secrets und verwenden keine unbounded/high-cardinality Labels.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AI ist nicht autoritativ; game-facing Action nur über Game Output/Capability Port.</w:t>
      </w:r>
    </w:p>
    <w:p>
      <w:pPr>
        <w:pStyle w:val="Heading2"/>
      </w:pPr>
      <w:r>
        <w:t>25. Fehler- und Failure-Verhalten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Szenario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Verbindliches Verhalten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Duplicate Start / ungültiger Übergang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Idempotentes/deterministisches Resultat; keine zweite Autorität und keine State Mutation.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Dialogue Timeout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Typisierter Timeout/Cancellation; Event Engine wird nicht zum Fallback-RPC.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Save Manager unavailable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Typisiertes unavailable/failure; Repository Bypass verboten.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Game Output unavailable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Kontrollierter Integrationsfehler; kein konkreter Adapter Lookup.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AI unavailable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Consumer/Host besitzt Fallback; Core-AI-Abhängigkeit fehlt ohne Opt-in.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Stale Result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Verwerfen anhand Operation Generation/Korrelation.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Resource Pressure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Begrenztes Reject/Defer; kein verstecktes Queue-Wachstum.</w:t>
            </w:r>
          </w:p>
        </w:tc>
      </w:tr>
    </w:tbl>
    <w:p>
      <w:pPr>
        <w:spacing w:after="0"/>
      </w:pPr>
    </w:p>
    <w:p>
      <w:pPr>
        <w:pStyle w:val="Heading2"/>
      </w:pPr>
      <w:r>
        <w:t>26. Metriken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Lifecycle Transition Duration/Outcome und Readiness Changes.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Ingress-/Use-Case-Accepted/Rejected/Duration nach begrenzter Kategorie.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Timeout-, Cancellation-, Invalid-Transition-, Backpressure- und Required-Contract-Unavailable-Zähler.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Stale-Result-Discard- und Recovery-Required-Zähler.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IDs, Benutzertext und Content werden nicht als Metric Labels verwendet.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Teil 08 — Teststrategie, Acceptance und Traceability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Deutsche Fassung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Owner / Autor: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Kanonische Quelle: MOD-001_Core_Architecture_Audited_Source_v1_2.md mit verbindlicher Correction Freeze AUDIT-018.</w:t>
      </w:r>
    </w:p>
    <w:p>
      <w:r>
        <w:br w:type="page"/>
      </w:r>
    </w:p>
    <w:p>
      <w:pPr>
        <w:pStyle w:val="Heading1"/>
        <w:spacing w:before="0"/>
      </w:pPr>
      <w:r>
        <w:t>Teil 08 · Teststrategie, Acceptance und Traceability</w:t>
      </w:r>
    </w:p>
    <w:p>
      <w:pPr>
        <w:pStyle w:val="Heading2"/>
      </w:pPr>
      <w:r>
        <w:t>27. Testebenen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Ebene</w:t>
            </w:r>
          </w:p>
        </w:tc>
        <w:tc>
          <w:tcPr>
            <w:tcW w:type="dxa" w:w="5112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Verbindliche Prüfung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Unit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Transition Table, Ingress Routing, Fake Ports, Errors, Deadlines, Readiness, Stale Results, bounded State.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Contract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Version/Semantik für Ingress, Dialogue, Save, Game Output, Event Engine, Scheduler.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Integration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Game Ingress -&gt; Core -&gt; Dialogue -&gt; Core -&gt; Game Output; Save/Load; Host Readiness.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Concurrency/Failure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Duplicate Start, Stop während Start, Stale Completion, Timeout, optionaler/verpflichtender Ausfall.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Architektur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Verbotene Imports/Kanten, kein Service Locator/RPC, Cycle PASS, C1–C6.</w:t>
            </w:r>
          </w:p>
        </w:tc>
      </w:tr>
      <w:tr>
        <w:trPr>
          <w:cantSplit w:val="true"/>
        </w:trPr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Render/Parity</w:t>
            </w:r>
          </w:p>
        </w:tc>
        <w:tc>
          <w:tcPr>
            <w:tcW w:type="dxa" w:w="5112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Alle RU-/DE-Seiten, semantische IDs, Tabellen, Tests, Acceptance und Diagramme.</w:t>
            </w:r>
          </w:p>
        </w:tc>
      </w:tr>
    </w:tbl>
    <w:p>
      <w:pPr>
        <w:spacing w:after="0"/>
      </w:pPr>
    </w:p>
    <w:p>
      <w:pPr>
        <w:pStyle w:val="Heading2"/>
      </w:pPr>
      <w:r>
        <w:t>28. C1–C6-Conformance-Tests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249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ID</w:t>
            </w:r>
          </w:p>
        </w:tc>
        <w:tc>
          <w:tcPr>
            <w:tcW w:type="dxa" w:w="7974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Prüfung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ACOMP-014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Dialogue-Implementierung ist ohne konkrete Importänderungen in Core austauschbar.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ACOMP-015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Game-Adapter-Implementierung ist ohne konkrete Importänderungen in Core austauschbar.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ACOMP-016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Missing mode-optional Capability invalidiert Core Ready nicht, wenn der Mode sie nicht verlangt.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ACOMP-017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 sendet nur High-Level Load und erhält ein typisiertes Resultat.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ACOMP-018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Keine SaveParticipant-Aufrufe stage/commit/abort/rollback aus Core.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ACOMP-019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 startet ohne AI-Readiness-Abhängigkeit, wenn kein Core-eigener AI-Workflow existiert.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ACOMP-020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Runtime Callback erzeugt keine Event Engine -&gt; Core-Implementierungsabhängigkeit.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ACOMP-021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Künftiger Core-Persistence/Status-Port wird abgelehnt, wenn eines der sechs Gates fehlt.</w:t>
            </w:r>
          </w:p>
        </w:tc>
      </w:tr>
    </w:tbl>
    <w:p>
      <w:pPr>
        <w:spacing w:after="0"/>
      </w:pPr>
    </w:p>
    <w:p>
      <w:pPr>
        <w:pStyle w:val="Heading2"/>
      </w:pPr>
      <w:r>
        <w:t>29.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249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ID</w:t>
            </w:r>
          </w:p>
        </w:tc>
        <w:tc>
          <w:tcPr>
            <w:tcW w:type="dxa" w:w="7974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Kriterium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ACC-001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Alle Core-consumed Contracts sind explizit, injiziert und mode-klassifiziert.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ACC-002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Konkrete Integrations-/Infrastrukturabhängigkeiten fehlen; Graph ist azyklisch.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ACC-003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Conversation nutzt den Dialogue-Port, nicht Event Engine RPC.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ACC-004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Save/Load nutzt nur den High-Level-Save-Manager-Vertrag; Restore Ownership C3 ist eingehalten.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ACC-005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Game Output nutzt den Core-eigenen Port und der konkrete Adapter ist austauschbar.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ACC-006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Scheduler einseitig; Autosave umgeht Core; Callbacks erzeugen keine reverse static dependency.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ACC-007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Core-/Application-Readiness sind getrennt; AI Evidence ist opt-in.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ACC-008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Kein Raw Config, Service Locator, generische Persistenz oder generischer AI Consumer.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ACC-009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Concurrency/Cancellation/Backpressure und Stale Safety sind geprüft.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ACC-010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C1–C6-Tests, RU/DE Semantic Parity, Render QA und finale Cycle Validation PASS.</w:t>
            </w:r>
          </w:p>
        </w:tc>
      </w:tr>
    </w:tbl>
    <w:p>
      <w:pPr>
        <w:spacing w:after="0"/>
      </w:pPr>
    </w:p>
    <w:p>
      <w:pPr>
        <w:pStyle w:val="Heading2"/>
      </w:pPr>
      <w:r>
        <w:t>30. Annahmen und vertagte Entscheidungen</w:t>
      </w: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Das Basis-Deployment bleibt ein modularer Monolith; Skyrim ist die erste Integration; SQLite liegt hinter Persistence Boundaries; AI ist optional/nicht autoritativ. Vertagt sind Sprache/Runtime, Signaturen, numerische SLO, Executor-/Thread-Modell, Telemetry Backend, Capability IDs und konkrete Host-Implementierung.</w:t>
      </w: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Vertagte Entscheidungen dürfen die Ownership-/Dependency-Semantik aus ADR-008 nicht ohne neue Architekturentscheidung ändern. Ein Core-Persistence/Status-Port wird nicht vorausgesetzt und durchläuft C6 von Grund auf.</w:t>
      </w:r>
    </w:p>
    <w:p>
      <w:pPr>
        <w:keepLines/>
        <w:pageBreakBefore/>
        <w:spacing w:before="1100" w:after="20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>MODULE SPECIFICATION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/>
          <w:i w:val="0"/>
          <w:color w:val="000000"/>
          <w:sz w:val="60"/>
        </w:rPr>
        <w:t>MOD-001</w:t>
      </w:r>
    </w:p>
    <w:p>
      <w:pPr>
        <w:keepLines/>
        <w:spacing w:before="0" w:after="260"/>
        <w:jc w:val="center"/>
      </w:pPr>
      <w:r>
        <w:rPr>
          <w:rFonts w:ascii="Arial" w:hAnsi="Arial" w:eastAsia="Arial"/>
          <w:b/>
          <w:i w:val="0"/>
          <w:color w:val="000000"/>
          <w:sz w:val="44"/>
        </w:rPr>
        <w:t>Core</w:t>
      </w:r>
    </w:p>
    <w:p>
      <w:pPr>
        <w:keepLines/>
        <w:spacing w:before="0" w:after="360"/>
        <w:jc w:val="center"/>
      </w:pPr>
      <w:r>
        <w:rPr>
          <w:rFonts w:ascii="Arial" w:hAnsi="Arial" w:eastAsia="Arial"/>
          <w:b/>
          <w:i w:val="0"/>
          <w:color w:val="35639A"/>
          <w:sz w:val="32"/>
        </w:rPr>
        <w:t>Teil 09 — Diagramme, Governance und Abschlussregeln</w:t>
      </w:r>
    </w:p>
    <w:p>
      <w:pPr>
        <w:keepLines/>
        <w:spacing w:before="0" w:after="200"/>
        <w:jc w:val="center"/>
      </w:pPr>
      <w:r>
        <w:rPr>
          <w:rFonts w:ascii="Arial" w:hAnsi="Arial" w:eastAsia="Arial"/>
          <w:b w:val="0"/>
          <w:i/>
          <w:color w:val="000000"/>
          <w:sz w:val="21"/>
        </w:rPr>
        <w:t>Deutsche Fassung · v1.2 · Architecture Audited</w:t>
      </w:r>
    </w:p>
    <w:p>
      <w:pPr>
        <w:keepLines/>
        <w:spacing w:before="0" w:after="2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2026-09-02</w:t>
      </w:r>
    </w:p>
    <w:p>
      <w:pPr>
        <w:keepLines/>
        <w:spacing w:before="0" w:after="160"/>
        <w:jc w:val="center"/>
      </w:pPr>
      <w:r>
        <w:rPr>
          <w:rFonts w:ascii="Arial" w:hAnsi="Arial" w:eastAsia="Arial"/>
          <w:b/>
          <w:i w:val="0"/>
          <w:color w:val="000000"/>
          <w:sz w:val="23"/>
        </w:rPr>
        <w:t>World Engine</w:t>
      </w:r>
    </w:p>
    <w:p>
      <w:pPr>
        <w:keepLines/>
        <w:spacing w:before="0" w:after="440"/>
        <w:jc w:val="center"/>
      </w:pPr>
      <w:r>
        <w:rPr>
          <w:rFonts w:ascii="Arial" w:hAnsi="Arial" w:eastAsia="Arial"/>
          <w:b w:val="0"/>
          <w:i w:val="0"/>
          <w:color w:val="000000"/>
          <w:sz w:val="20"/>
        </w:rPr>
        <w:t>Owner / Autor: Andrii Drahulskyi</w:t>
      </w:r>
    </w:p>
    <w:p>
      <w:pPr>
        <w:keepLines/>
        <w:spacing w:before="0" w:after="80"/>
        <w:jc w:val="center"/>
      </w:pPr>
      <w:r>
        <w:rPr>
          <w:rFonts w:ascii="Arial" w:hAnsi="Arial" w:eastAsia="Arial"/>
          <w:b w:val="0"/>
          <w:i/>
          <w:color w:val="666666"/>
          <w:sz w:val="17"/>
        </w:rPr>
        <w:t>Kanonische Quelle: MOD-001_Core_Architecture_Audited_Source_v1_2.md mit verbindlicher Correction Freeze AUDIT-018.</w:t>
      </w:r>
    </w:p>
    <w:p>
      <w:r>
        <w:br w:type="page"/>
      </w:r>
    </w:p>
    <w:p>
      <w:pPr>
        <w:pStyle w:val="Heading1"/>
        <w:spacing w:before="0"/>
      </w:pPr>
      <w:r>
        <w:t>Teil 09 · Diagramme, Governance und Abschlussregeln</w:t>
      </w:r>
    </w:p>
    <w:p>
      <w:pPr>
        <w:pStyle w:val="Heading2"/>
      </w:pPr>
      <w:r>
        <w:t>31. Verbindliche Diagramme und Pfeilsemantik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635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4"/>
              </w:rPr>
              <w:t>ID</w:t>
            </w:r>
          </w:p>
        </w:tc>
        <w:tc>
          <w:tcPr>
            <w:tcW w:type="dxa" w:w="3680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4"/>
              </w:rPr>
              <w:t>Diagramm</w:t>
            </w:r>
          </w:p>
        </w:tc>
        <w:tc>
          <w:tcPr>
            <w:tcW w:type="dxa" w:w="4907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4"/>
              </w:rPr>
              <w:t>Schlüssel-Gate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DIA-001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Core Context/Ports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C1 Port-Inversion + Game Ingress inbound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DIA-002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Static Dependency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ARCH-005-Konsistenz und Cycle PASS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DIA-003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Core Lifecycle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Core-State getrennt vom Application Outcome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DIA-004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Conversation Sequence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ARCH-007 SD-001; synchroner Port, kein Event RPC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DIA-005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Save/Load und Restore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ARCH-007 SD-004/005; C3 Ownership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DIA-006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Host vs Core Readiness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Mode-aware Requiredness und AI Opt-in</w:t>
            </w:r>
          </w:p>
        </w:tc>
      </w:tr>
      <w:tr>
        <w:trPr>
          <w:cantSplit w:val="true"/>
        </w:trPr>
        <w:tc>
          <w:tcPr>
            <w:tcW w:type="dxa" w:w="16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DIA-007</w:t>
            </w:r>
          </w:p>
        </w:tc>
        <w:tc>
          <w:tcPr>
            <w:tcW w:type="dxa" w:w="3680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Event Callback Wiring</w:t>
            </w:r>
          </w:p>
        </w:tc>
        <w:tc>
          <w:tcPr>
            <w:tcW w:type="dxa" w:w="490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4"/>
              </w:rPr>
              <w:t>C5 Runtime-Beziehung, keine reverse static dependency</w:t>
            </w:r>
          </w:p>
        </w:tc>
      </w:tr>
    </w:tbl>
    <w:p>
      <w:pPr>
        <w:spacing w:after="0"/>
      </w:pP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Jedes Diagramm muss Static Dependency, Runtime Call, Event Relation, Data/Evidence Flow und Lifecycle Wiring unterscheiden. Ein Sequence-/Deployment-Pfeil erklärt ohne DEPS-/ARCH-005-Autorität keine Abhängigkeit.</w:t>
      </w:r>
    </w:p>
    <w:p>
      <w:pPr>
        <w:pStyle w:val="Heading2"/>
      </w:pPr>
      <w:r>
        <w:t>32. Implementation Governance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249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Gate</w:t>
            </w:r>
          </w:p>
        </w:tc>
        <w:tc>
          <w:tcPr>
            <w:tcW w:type="dxa" w:w="7974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Regel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IG-001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Neue outbound Core Dependency erfordert Architecture-/Dependency-Review.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IG-002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Contract-first; private Interna anderer Module sind unzugänglich.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IG-003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Kein Service Locator/globale Registry.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IG-004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Failure überträgt Domain-/Persistence-/Game-/AI-Ownership nicht an Core.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IG-005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Mutable Core Lifecycle durchläuft eine Autorität/Generation Checks.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IG-006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Contract Change aktualisiert MOD/API/Diagramme/Tests im selben Change Set.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IG-007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Boundary Change erfordert ADR; C6 gilt für Persistence/Status-Port.</w:t>
            </w:r>
          </w:p>
        </w:tc>
      </w:tr>
      <w:tr>
        <w:trPr>
          <w:cantSplit w:val="true"/>
        </w:trPr>
        <w:tc>
          <w:tcPr>
            <w:tcW w:type="dxa" w:w="2249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IG-008</w:t>
            </w:r>
          </w:p>
        </w:tc>
        <w:tc>
          <w:tcPr>
            <w:tcW w:type="dxa" w:w="7974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Architecture-Conformance-, Parity-, Render- und Cycle-Gates sind vor Merge verpflichtend.</w:t>
            </w:r>
          </w:p>
        </w:tc>
      </w:tr>
    </w:tbl>
    <w:p>
      <w:pPr>
        <w:spacing w:after="0"/>
      </w:pPr>
    </w:p>
    <w:p>
      <w:pPr>
        <w:pStyle w:val="Heading2"/>
      </w:pPr>
      <w:r>
        <w:t>33. Traceability und Autorität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3885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Quelle</w:t>
            </w:r>
          </w:p>
        </w:tc>
        <w:tc>
          <w:tcPr>
            <w:tcW w:type="dxa" w:w="6338"/>
            <w:shd w:fill="D9EAF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Arial" w:hAnsi="Arial" w:eastAsia="Arial"/>
                <w:b/>
                <w:sz w:val="15"/>
              </w:rPr>
              <w:t>Rolle</w:t>
            </w:r>
          </w:p>
        </w:tc>
      </w:tr>
      <w:tr>
        <w:trPr>
          <w:cantSplit w:val="true"/>
        </w:trPr>
        <w:tc>
          <w:tcPr>
            <w:tcW w:type="dxa" w:w="388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ADR-001/002/003/005/007/008</w:t>
            </w:r>
          </w:p>
        </w:tc>
        <w:tc>
          <w:tcPr>
            <w:tcW w:type="dxa" w:w="633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Core-, Event-, Database-, Save-, Multi-Game- und Dependency/Ownership-Entscheidungen.</w:t>
            </w:r>
          </w:p>
        </w:tc>
      </w:tr>
      <w:tr>
        <w:trPr>
          <w:cantSplit w:val="true"/>
        </w:trPr>
        <w:tc>
          <w:tcPr>
            <w:tcW w:type="dxa" w:w="388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ARCH-001–005</w:t>
            </w:r>
          </w:p>
        </w:tc>
        <w:tc>
          <w:tcPr>
            <w:tcW w:type="dxa" w:w="633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Gesamtmodell, Modulgrenzen, Data Flow, Principles und kanonische statische Abhängigkeiten.</w:t>
            </w:r>
          </w:p>
        </w:tc>
      </w:tr>
      <w:tr>
        <w:trPr>
          <w:cantSplit w:val="true"/>
        </w:trPr>
        <w:tc>
          <w:tcPr>
            <w:tcW w:type="dxa" w:w="388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ARCH-006/007</w:t>
            </w:r>
          </w:p>
        </w:tc>
        <w:tc>
          <w:tcPr>
            <w:tcW w:type="dxa" w:w="633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Component View und Runtime Sequences einschließlich Atomic Restore.</w:t>
            </w:r>
          </w:p>
        </w:tc>
      </w:tr>
      <w:tr>
        <w:trPr>
          <w:cantSplit w:val="true"/>
        </w:trPr>
        <w:tc>
          <w:tcPr>
            <w:tcW w:type="dxa" w:w="388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ARCH-008/009</w:t>
            </w:r>
          </w:p>
        </w:tc>
        <w:tc>
          <w:tcPr>
            <w:tcW w:type="dxa" w:w="633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Deployment/Lifecycle und Configuration Transaction.</w:t>
            </w:r>
          </w:p>
        </w:tc>
      </w:tr>
      <w:tr>
        <w:trPr>
          <w:cantSplit w:val="true"/>
        </w:trPr>
        <w:tc>
          <w:tcPr>
            <w:tcW w:type="dxa" w:w="388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ARCH-010/011/012</w:t>
            </w:r>
          </w:p>
        </w:tc>
        <w:tc>
          <w:tcPr>
            <w:tcW w:type="dxa" w:w="633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Plugin-, Save- und AI-Ownership-Boundaries.</w:t>
            </w:r>
          </w:p>
        </w:tc>
      </w:tr>
      <w:tr>
        <w:trPr>
          <w:cantSplit w:val="true"/>
        </w:trPr>
        <w:tc>
          <w:tcPr>
            <w:tcW w:type="dxa" w:w="3885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AUDIT-018</w:t>
            </w:r>
          </w:p>
        </w:tc>
        <w:tc>
          <w:tcPr>
            <w:tcW w:type="dxa" w:w="6338"/>
            <w:tcMar>
              <w:top w:w="45" w:type="dxa"/>
              <w:start w:w="65" w:type="dxa"/>
              <w:bottom w:w="45" w:type="dxa"/>
              <w:end w:w="65" w:type="dxa"/>
            </w:tcMar>
            <w:shd w:fill="F8FBFD"/>
            <w:vAlign w:val="center"/>
          </w:tcPr>
          <w:p>
            <w:pPr>
              <w:widowControl/>
              <w:spacing w:after="0"/>
            </w:pPr>
            <w:r>
              <w:rPr>
                <w:rFonts w:ascii="Arial" w:hAnsi="Arial" w:eastAsia="Arial"/>
                <w:sz w:val="15"/>
              </w:rPr>
              <w:t>Finale verbindliche C1–C6 Correction Freeze.</w:t>
            </w:r>
          </w:p>
        </w:tc>
      </w:tr>
    </w:tbl>
    <w:p>
      <w:pPr>
        <w:spacing w:after="0"/>
      </w:pPr>
    </w:p>
    <w:p>
      <w:pPr>
        <w:pStyle w:val="Heading2"/>
      </w:pPr>
      <w:r>
        <w:t>34. Änderungen v1.2 und Abschlussstatus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Das veraltete Modell „Core -&gt; nur Event Engine + Scheduler“ wurde durch explizite schmale Core-eigene synchrone Ports ersetzt.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Dialogue-, Save-Manager- und Game-Output-Verträge wurden bei beibehaltener konkreter Implementierungsinversion ergänzt.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Scheduler-Ambiguität ist geschlossen; Autosave ist aus Core ausgeschlossen.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Host besitzt Composition und Application Readiness; Core Readiness ist getrennt.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Atomic-Restore-Ownership und AI Opt-in sind präzisiert; Callback-Inversion ist formalisiert.</w:t>
      </w:r>
    </w:p>
    <w:p>
      <w:pPr>
        <w:pStyle w:val="ListBullet"/>
        <w:widowControl/>
        <w:spacing w:after="40"/>
        <w:ind w:left="317" w:hanging="202"/>
      </w:pPr>
      <w:r>
        <w:rPr>
          <w:rFonts w:ascii="Arial" w:hAnsi="Arial" w:eastAsia="Arial"/>
          <w:sz w:val="18"/>
        </w:rPr>
        <w:t>C6 schützt vor einer künftigen Rückkehr generischer Persistence-/Status-Abhängigkeit.</w:t>
      </w:r>
    </w:p>
    <w:p>
      <w:pPr>
        <w:widowControl/>
        <w:spacing w:after="100" w:line="252" w:lineRule="auto"/>
      </w:pPr>
      <w:r>
        <w:rPr>
          <w:rFonts w:ascii="Arial" w:hAnsi="Arial" w:eastAsia="Arial"/>
          <w:sz w:val="19"/>
        </w:rPr>
        <w:t>Dieses Dokument ist die vollständige MOD-001-v1.2-architecture-audited Baseline für RU/DE. Implementation-ready wird erst nach Implementierung, Contract/API Freeze und Bestehen aller repository-weiten Gates erreicht.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66666"/>
        <w:sz w:val="16"/>
      </w:rPr>
      <w:t xml:space="preserve">MOD-001 Core · DE v1.2 · Architecture Audited   ·  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6666"/>
        <w:sz w:val="16"/>
      </w:rPr>
      <w:t>World Engine · MOD-001 Core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2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5639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563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5639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35639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MOD-001 Core v1.2 Architecture Audited Complete</dc:title>
  <dc:subject>World Engine module architecture specification</dc:subject>
  <dc:creator>Andrii Drahulskyi</dc:creator>
  <cp:keywords>World Engine, MOD-001, Core, architecture audit, v1.2</cp:keywords>
  <dc:description>Generated from the consolidated audited source with AUDIT-018 C1-C6 incorporated.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