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after="1480"/>
      </w:pPr>
      <w:r>
        <w:rPr>
          <w:rFonts w:ascii="Helvetica Neue" w:hAnsi="Helvetica Neue" w:eastAsia="Helvetica Neue"/>
          <w:b/>
          <w:color w:val="147C91"/>
          <w:sz w:val="20"/>
        </w:rPr>
        <w:t>WORLD ENGINE</w:t>
      </w:r>
    </w:p>
    <w:p>
      <w:pPr>
        <w:pStyle w:val="Title"/>
      </w:pPr>
      <w:r>
        <w:t>World Engine Glossary</w:t>
      </w:r>
    </w:p>
    <w:p>
      <w:pPr>
        <w:spacing w:after="560"/>
      </w:pPr>
      <w:r>
        <w:rPr>
          <w:rFonts w:ascii="Helvetica Neue" w:hAnsi="Helvetica Neue" w:eastAsia="Helvetica Neue"/>
          <w:color w:val="111111"/>
          <w:sz w:val="28"/>
        </w:rPr>
        <w:t>Канонические термины, переводы и запрещённые неоднозначности</w:t>
      </w:r>
    </w:p>
    <w:p>
      <w:pPr>
        <w:spacing w:after="360"/>
      </w:pPr>
      <w:r>
        <w:rPr>
          <w:rFonts w:ascii="Helvetica Neue" w:hAnsi="Helvetica Neue" w:eastAsia="Helvetica Neue"/>
          <w:b/>
          <w:color w:val="173A57"/>
          <w:sz w:val="17"/>
        </w:rPr>
        <w:t>CURRENT NORMATIVE STANDARD  •  FOUNDATION F1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Cover document control"/>
        <w:tblDescription w:val="PLAN-001 data table: Cover document control"/>
      </w:tblPr>
      <w:tblGrid>
        <w:gridCol w:w="4896"/>
        <w:gridCol w:w="4896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Поле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Document ID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STD-001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Version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1.0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Дата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2026-09-05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Статус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Current control baseline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Область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Полный World Engine vocabulary; RU, DE и canonical English tokens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Владелец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Andrii Drahulskyi / World Engine</w:t>
            </w:r>
          </w:p>
        </w:tc>
      </w:tr>
    </w:tbl>
    <w:p>
      <w:pPr>
        <w:spacing w:after="0"/>
      </w:pPr>
    </w:p>
    <w:p>
      <w:pPr>
        <w:spacing w:before="500"/>
      </w:pPr>
      <w:r>
        <w:rPr>
          <w:rFonts w:ascii="Helvetica Neue" w:hAnsi="Helvetica Neue" w:eastAsia="Helvetica Neue"/>
          <w:i/>
          <w:color w:val="505A60"/>
          <w:sz w:val="18"/>
        </w:rPr>
        <w:t>Стандарт обязателен для новых public artifacts после публикации; существующие public names сохраняют совместимость до контролируемой migration.</w:t>
      </w:r>
    </w:p>
    <w:p>
      <w:r>
        <w:br w:type="page"/>
      </w:r>
    </w:p>
    <w:p>
      <w:pPr>
        <w:pStyle w:val="Heading1"/>
      </w:pPr>
      <w:r>
        <w:t>Управление документом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Document control"/>
        <w:tblDescription w:val="PLAN-001 data table: Document control"/>
      </w:tblPr>
      <w:tblGrid>
        <w:gridCol w:w="4896"/>
        <w:gridCol w:w="4896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Поле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Document ID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STD-001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Version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1.0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Статус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Current normative standard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Область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Полный World Engine vocabulary; RU, DE и canonical English tokens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Purpose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Единое значение терминов для документов, contracts, code, tests и operations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Language model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RU reader text with stable English machine tokens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Working branch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docs/pre-code-foundation-plan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Governing plan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PLAN-001 v2.1 / Foundation F1</w:t>
            </w:r>
          </w:p>
        </w:tc>
      </w:tr>
    </w:tbl>
    <w:p>
      <w:pPr>
        <w:spacing w:after="0"/>
      </w:pPr>
    </w:p>
    <w:p>
      <w:pPr>
        <w:pStyle w:val="Heading2"/>
      </w:pPr>
      <w:r>
        <w:t>Граница нормативности</w:t>
      </w:r>
    </w:p>
    <w:p>
      <w:r>
        <w:t>Документ стандартизирует значение и перевод. Lexical construction identifiers принадлежит STD-002; более конкретные принятые ADR и contracts сохраняют приоритет своего решения.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Applicability"/>
        <w:tblDescription w:val="PLAN-001 data table: Applicability"/>
      </w:tblPr>
      <w:tblGrid>
        <w:gridCol w:w="4896"/>
        <w:gridCol w:w="4896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Applies to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New public artifacts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MUST comply from publication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Existing public artifacts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Remain stable until controlled compatibility change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RU and DE documents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MUST preserve identical machine tokens and normative strength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Skyrim scope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SE/AE active; VR excluded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1. Назначение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2. Нормативность и приоритет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3. Языковая модель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4. Статусы документа и реализации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5. Документация и управление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6. Система и архитектура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7. Модули и компоненты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8. События и сообщения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9. Данные и persistence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10. Save и restore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11. Конфигурация и deployment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12. Игра и адаптер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13. Memory и симуляция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14. AI, dialogue и voice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15. Тестирование и доказательства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16. Безопасность и privacy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17. Ошибки, наблюдаемость и эксплуатация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18. Версии, совместимость и релиз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19. Git и рабочий процесс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20. Риски и решения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21. Время, порядок и конкурентность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22. Аббревиатуры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23. Запрещённые неоднозначности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24. Правила перевода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25. Введение нового термина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26. Acceptance criteria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Приложение A. Быстрая статусная формула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Приложение B. Термины с разными значениями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Приложение C. Traceability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Приложение D. Журнал изменений</w:t>
      </w:r>
    </w:p>
    <w:p>
      <w:r>
        <w:br w:type="page"/>
      </w:r>
    </w:p>
    <w:p>
      <w:pPr>
        <w:pStyle w:val="Heading1"/>
      </w:pPr>
      <w:r>
        <w:t>1. Назначение</w:t>
      </w:r>
    </w:p>
    <w:p>
      <w:r>
        <w:rPr>
          <w:rFonts w:ascii="Helvetica Neue" w:hAnsi="Helvetica Neue" w:eastAsia="Helvetica Neue"/>
        </w:rPr>
        <w:t>STD-001 устанавливает единый словарь World Engine для архитектуры, документации, кода, тестов и эксплуатации. Его задача — исключить ситуацию, когда одинаковое слово обозначает разные вещи либо разные слова ошибочно принимаются за разные сущности.</w:t>
      </w:r>
    </w:p>
    <w:p>
      <w:r>
        <w:rPr>
          <w:rFonts w:ascii="Helvetica Neue" w:hAnsi="Helvetica Neue" w:eastAsia="Helvetica Neue"/>
        </w:rPr>
        <w:t>Канонический технический token приводится на английском и остаётся стабильным в RU и DE документах. Перевод объясняет смысл читателю, но не меняет имя типа, события, API, поля, метрики или конфигурационного ключа.</w:t>
      </w:r>
    </w:p>
    <w:p>
      <w:pPr>
        <w:pStyle w:val="Heading1"/>
      </w:pPr>
      <w:r>
        <w:t>2. Нормативность и приоритет</w:t>
      </w:r>
    </w:p>
    <w:p>
      <w:r>
        <w:rPr>
          <w:rFonts w:ascii="Helvetica Neue" w:hAnsi="Helvetica Neue" w:eastAsia="Helvetica Neue"/>
        </w:rPr>
        <w:t>Определения STD-001 обязательны для новых документов и новой реализации. Если ранний документ использует термин иначе, действует смысл более конкретного принятого ARCH, ADR или модульного контракта; расхождение регистрируется и устраняется контролируемой редакцией. Глоссарий не может незаметно изменить уже принятое архитектурное решение.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2. Нормативность и приоритет"/>
        <w:tblDescription w:val="PLAN-001 data table: 2. Нормативность и приоритет"/>
      </w:tblPr>
      <w:tblGrid>
        <w:gridCol w:w="3264"/>
        <w:gridCol w:w="3264"/>
        <w:gridCol w:w="3264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Уровень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Источник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Правило при конфликте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1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Accepted ADR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Управляет самим решением и его мотивом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2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Current ARCH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Управляет системной границей и зависимостями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3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Current module specification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Управляет контрактом конкретного модуля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4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STD-001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Управляет общим значением и переводом термина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5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Локальная заметка или draft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Не меняет канонический смысл</w:t>
            </w:r>
          </w:p>
        </w:tc>
      </w:tr>
    </w:tbl>
    <w:p>
      <w:pPr>
        <w:spacing w:after="0"/>
      </w:pPr>
    </w:p>
    <w:p>
      <w:pPr>
        <w:pStyle w:val="Heading1"/>
      </w:pPr>
      <w:r>
        <w:t>3. Языковая модель</w:t>
      </w:r>
    </w:p>
    <w:p>
      <w:r>
        <w:rPr>
          <w:rFonts w:ascii="Helvetica Neue" w:hAnsi="Helvetica Neue" w:eastAsia="Helvetica Neue"/>
        </w:rPr>
        <w:t>RU и DE версии должны ссылаться на один английский canonical token. В обычной прозе допустим естественный перевод; при первом важном употреблении указывается token. В коде, схемах, логах, events и конфигурации используется только утверждённая английская форма.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3. Языковая модель"/>
        <w:tblDescription w:val="PLAN-001 data table: 3. Языковая модель"/>
      </w:tblPr>
      <w:tblGrid>
        <w:gridCol w:w="2448"/>
        <w:gridCol w:w="2448"/>
        <w:gridCol w:w="2448"/>
        <w:gridCol w:w="2448"/>
      </w:tblGrid>
      <w:tr>
        <w:trPr>
          <w:cantSplit/>
          <w:tblHeader w:val="true"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Элемент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RU документ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DE документ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Код и данные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Концепция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Перевод плюс canonical token при первом употреблении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Übersetzung plus canonical token bei erster Verwendung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Canonical English token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Идентификатор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Не переводится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Wird nicht übersetzt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Exact identifier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Статус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Английский статус можно пояснить по-русски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Englischer Status kann deutsch erklärt werden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Exact status value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Числовой предел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Одинаковое значение и единица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Gleicher Wert und gleiche Einheit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Machine-readable unit suffix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Статусы документа и реализации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4. Статусы документа и реализации"/>
        <w:tblDescription w:val="PLAN-001 data table: 4. Статусы документа и реализации"/>
      </w:tblPr>
      <w:tblGrid>
        <w:gridCol w:w="2448"/>
        <w:gridCol w:w="2448"/>
        <w:gridCol w:w="2448"/>
        <w:gridCol w:w="2448"/>
      </w:tblGrid>
      <w:tr>
        <w:trPr>
          <w:cantSplit/>
          <w:tblHeader w:val="true"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Canonical token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Русский смысл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Немецкий эквивалент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Нормативное определение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Запланировано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Geplant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Артефакт предусмотрен, но канонической версии нет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Draft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Черновик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Entwurf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Содержание существует, но все gates ещё не пройдены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Design Baseline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Проектная база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Entwurfsbaseline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Контракты достаточны для начала реализации после разрешения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Accepted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Принято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Angenommen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Решение формально принято уполномоченным владельцем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Complete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Документ завершён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Dokument vollständig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Документ самодостаточен и прошёл обязательную QA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Not Started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Не начато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Nicht begonnen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Реализация или проверка отсутствует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Prototype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Прототип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Prototyp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Исследовательская реализация без заявленной production readiness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Implemented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Реализовано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Implementiert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Код существует, собирается и соответствует заявленному baseline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Verified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Проверено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Verifiziert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Поведение доказано определёнными тестами и сохранёнными результатами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Operational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Эксплуатационно готово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Betriebsbereit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Deployment, monitoring, recovery и операционная пригодность доказаны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Current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Действующее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Aktuell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Версия управляет текущей работой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Superseded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Заменено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Ersetzt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Версия сохранена для истории, но больше не управляет работой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Living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Ведущийся документ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Fortgeschrieben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Документ регулярно обновляется по установленному cadence</w:t>
            </w:r>
          </w:p>
        </w:tc>
      </w:tr>
    </w:tbl>
    <w:p>
      <w:pPr>
        <w:spacing w:after="0"/>
      </w:pPr>
    </w:p>
    <w:p>
      <w:r>
        <w:rPr>
          <w:rFonts w:ascii="Helvetica Neue" w:hAnsi="Helvetica Neue" w:eastAsia="Helvetica Neue"/>
          <w:b/>
        </w:rPr>
        <w:t>Запрещённое сокращение смысла:</w:t>
      </w:r>
      <w:r>
        <w:rPr>
          <w:rFonts w:ascii="Helvetica Neue" w:hAnsi="Helvetica Neue" w:eastAsia="Helvetica Neue"/>
        </w:rPr>
        <w:t xml:space="preserve"> слова «готово», «закрыто» и «завершено» без указания объекта и статуса. Следует писать: «спецификация Complete; implementation Not Started» или «implementation Verified в среде Skyrim SE 1.6.x».</w:t>
      </w:r>
    </w:p>
    <w:p>
      <w:pPr>
        <w:pStyle w:val="Heading1"/>
      </w:pPr>
      <w:r>
        <w:t>5. Документация и управление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5. Документация и управление"/>
        <w:tblDescription w:val="PLAN-001 data table: 5. Документация и управление"/>
      </w:tblPr>
      <w:tblGrid>
        <w:gridCol w:w="2448"/>
        <w:gridCol w:w="2448"/>
        <w:gridCol w:w="2448"/>
        <w:gridCol w:w="2448"/>
      </w:tblGrid>
      <w:tr>
        <w:trPr>
          <w:cantSplit/>
          <w:tblHeader w:val="true"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Canonical token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Русский смысл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Немецкий эквивалент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Определение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Canonical Document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Канонический документ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Kanonisches Dokument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Единственная действующая версия, явно указанная в canonical index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Canonical Index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Канонический индекс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Kanonischer Index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Реестр implementation-facing документов и их текущих версий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Control Artifact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Контрольный артефакт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Kontrollartefakt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План, QA report или register, управляющий доказательствами, но не входящий в delivery denominator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Delivery Artifact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Поставляемый артефакт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Lieferartefakt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Одна учитываемая позиция Master Plan, обычно двуязычная документная пара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Source Document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Исходный документ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Quelldokument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Редактируемая смысловая основа, из которой создаётся публикуемая версия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Reference Document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Документ-образец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Referenzdokument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Неизменяемый источник визуальной или структурной системы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Historical Snapshot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Исторический снимок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Historischer Snapshot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Сохранённое состояние заменённой версии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Traceability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Прослеживаемость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Rückverfolgbarkeit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Связь требования с источником, реализацией, тестом и результатом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Coverage Register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Реестр покрытия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Abdeckungsregister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Список источников и доказательство их включения или контролируемого исключения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Change Log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Журнал изменений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Änderungsjournal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Версионная запись фактических смысловых изменений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Gate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Контрольный допуск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Freigabestufe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Формальная точка решения, блокирующая следующий класс работы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Definition of Done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Критерий завершения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Fertigstellungsdefinition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Набор обязательных доказательств завершённости определённого результата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Система и архитектура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6. Система и архитектура"/>
        <w:tblDescription w:val="PLAN-001 data table: 6. Система и архитектура"/>
      </w:tblPr>
      <w:tblGrid>
        <w:gridCol w:w="2448"/>
        <w:gridCol w:w="2448"/>
        <w:gridCol w:w="2448"/>
        <w:gridCol w:w="2448"/>
      </w:tblGrid>
      <w:tr>
        <w:trPr>
          <w:cantSplit/>
          <w:tblHeader w:val="true"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Canonical token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Русский смысл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Немецкий эквивалент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Определение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World Engine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World Engine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World Engine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Модульная система симуляции живого мира, интегрируемая с играми через adapters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System Boundary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Граница системы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Systemgrenze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Явное разделение принадлежащего World Engine и внешней среды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Architecture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Архитектура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Architektur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Структура владельцев, границ, зависимостей и обязательных свойств системы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Layer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Слой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Schicht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Группа компонентов с одинаковой ответственностью и допустимым направлением зависимостей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Core Platform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Базовая платформа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Kernplattform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Инфраструктура lifecycle, module registry, events, scheduling и общих contracts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Simulation Layer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Слой симуляции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Simulationsschicht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Game-agnostic доменная логика памяти, персонажей, отношений и мира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Game Integration Layer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Слой интеграции с игрой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Spielintegrationsschicht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Граница между игровым runtime и внутренними contracts World Engine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AI Integration Layer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Слой AI-интеграции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AI-Integrationsschicht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Provider-neutral orchestration AI requests, context и fallbacks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Infrastructure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Инфраструктура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Infrastruktur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Технические реализации storage, filesystem, transport, process и provider access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Dependency Direction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Направление зависимости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Abhängigkeitsrichtung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Разрешённое статическое отношение между слоями и владельцами contracts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Static Dependency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Статическая зависимость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Statische Abhängigkeit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Compile-time или package-level ссылка одного компонента на другой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Runtime Interaction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Runtime-взаимодействие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Laufzeitinteraktion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Обмен сообщениями или вызовами во время выполнения без изменения ownership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Inversion of Control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Инверсия управления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Steuerungsumkehr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Зависимость на contract, принадлежащий потребляющей стороне, с внешней реализацией</w:t>
            </w:r>
          </w:p>
        </w:tc>
      </w:tr>
    </w:tbl>
    <w:p>
      <w:pPr>
        <w:spacing w:after="0"/>
      </w:pPr>
    </w:p>
    <w:p>
      <w:pPr>
        <w:pStyle w:val="Heading1"/>
      </w:pPr>
      <w:r>
        <w:t>7. Модули и компоненты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7. Модули и компоненты"/>
        <w:tblDescription w:val="PLAN-001 data table: 7. Модули и компоненты"/>
      </w:tblPr>
      <w:tblGrid>
        <w:gridCol w:w="2448"/>
        <w:gridCol w:w="2448"/>
        <w:gridCol w:w="2448"/>
        <w:gridCol w:w="2448"/>
      </w:tblGrid>
      <w:tr>
        <w:trPr>
          <w:cantSplit/>
          <w:tblHeader w:val="true"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Canonical token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Русский смысл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Немецкий эквивалент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Определение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Module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Модуль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Modul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Версионируемая единица ответственности с lifecycle, contracts и владельцем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Component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Компонент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Komponente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Внутренняя часть модуля с конкретной технической ролью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Module Owner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Владелец модуля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Modulverantwortlicher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Роль, отвечающая за specification, conformance и evidence модуля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Module Registry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Реестр модулей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Modulregister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Core service, принимающий descriptors и управляющий разрешённым lifecycle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Module Descriptor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Дескриптор модуля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Moduldeskriptor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Метаданные ID, version, capabilities, dependencies и startup requirements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Lifecycle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Жизненный цикл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Lebenszyklus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Определённая последовательность регистрации, запуска, работы, остановки и failure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Capability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Возможность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Fähigkeit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Явно объявленная функция, которую consumer может проверить до использования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Contract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Контракт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Vertrag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Версионируемое обязательство о данных, поведении, ошибках и совместимости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Port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Порт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Port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Узкий interface на границе use case, принадлежащий стороне, которой он нужен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Adapter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Адаптер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Adapter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Реализация, преобразующая внешний protocol или runtime в внутренний contract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Repository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Репозиторий данных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Repository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Узкий persistence interface для domain/application use cases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Service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Сервис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Dienst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Поведенческий компонент; название требует уточнения роли и boundary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Use Case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Сценарий применения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Anwendungsfall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Одна оркестрируемая цель пользователя, системы или модуля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События и сообщения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8. События и сообщения"/>
        <w:tblDescription w:val="PLAN-001 data table: 8. События и сообщения"/>
      </w:tblPr>
      <w:tblGrid>
        <w:gridCol w:w="2448"/>
        <w:gridCol w:w="2448"/>
        <w:gridCol w:w="2448"/>
        <w:gridCol w:w="2448"/>
      </w:tblGrid>
      <w:tr>
        <w:trPr>
          <w:cantSplit/>
          <w:tblHeader w:val="true"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Canonical token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Русский смысл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Немецкий эквивалент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Определение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Event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Событие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Ereignis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Неизменяемый факт о том, что уже произошло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Domain Event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Доменное событие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Domänenereignis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Факт, значимый для game-agnostic domain logic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Integration Event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Интеграционное событие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Integrationsereignis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Версионируемое сообщение для пересечения module boundary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Command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Команда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Befehl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Запрос выполнить действие; может быть отклонён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Query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Запрос чтения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Abfrage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Запрос данных без намерения изменить domain state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Result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Результат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Ergebnis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Типизированный исход command, query или operation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Event Envelope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Конверт события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Ereignisumschlag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Метаданные identity, version, time, correlation, causation и producer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Producer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Производитель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Erzeuger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Модуль, подтвердивший и опубликовавший факт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Consumer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Потребитель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Verbraucher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Компонент, подписанный на contract и обрабатывающий сообщение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Correlation ID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Идентификатор корреляции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Korrelationskennung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ID одной логической операции через несколько компонентов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Causation ID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Идентификатор причины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Ursachenkennung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ID непосредственного сообщения или действия, вызвавшего текущее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Idempotency Key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Ключ идемпотентности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Idempotenzschlüssel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Стабильный ключ, позволяющий распознать повтор одной операции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At-least-once Delivery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Доставка минимум один раз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Mindestens-einmal-Zustellung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Сообщение может быть доставлено повторно и требует идемпотентного consumer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Dead Letter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Необработанное сообщение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Unzustellbare Nachricht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Сообщение, изолированное после исчерпания разрешённых попыток</w:t>
            </w:r>
          </w:p>
        </w:tc>
      </w:tr>
    </w:tbl>
    <w:p>
      <w:pPr>
        <w:spacing w:after="0"/>
      </w:pPr>
    </w:p>
    <w:p>
      <w:pPr>
        <w:pStyle w:val="Heading1"/>
      </w:pPr>
      <w:r>
        <w:t>9. Данные и persistence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9. Данные и persistence"/>
        <w:tblDescription w:val="PLAN-001 data table: 9. Данные и persistence"/>
      </w:tblPr>
      <w:tblGrid>
        <w:gridCol w:w="2448"/>
        <w:gridCol w:w="2448"/>
        <w:gridCol w:w="2448"/>
        <w:gridCol w:w="2448"/>
      </w:tblGrid>
      <w:tr>
        <w:trPr>
          <w:cantSplit/>
          <w:tblHeader w:val="true"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Canonical token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Русский смысл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Немецкий эквивалент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Определение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Domain State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Доменное состояние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Domänenzustand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Состояние с игровым смыслом, принадлежащее domain module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Durable State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Долговременное состояние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Dauerhafter Zustand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Данные, обязанные переживать process restart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Transient State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Временное состояние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Flüchtiger Zustand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Восстанавливаемые или одноразовые runtime-данные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Entity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Сущность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Entität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Объект с устойчивой identity во времени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Value Object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Объект-значение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Wertobjekt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Неизменяемое значение, определяемое содержимым, а не identity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Aggregate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Агрегат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Aggregat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Consistency boundary с одним управляющим root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Schema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Схема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Schema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Версионируемая структура данных и invariants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Logical Schema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Логическая схема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Logisches Schema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Модель данных без привязки к физической layout конкретного engine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Physical Schema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Физическая схема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Physisches Schema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Таблицы, columns, indexes и constraints конкретного storage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Migration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Миграция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Migration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Контролируемое преобразование между schema versions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Transaction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Транзакция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Transaktion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Atomic unit persistence changes с определённой isolation boundary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Repository Contract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Контракт репозитория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Repository-Vertrag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Domain-facing операции persistence без утечки SQL или connection details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Outbox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Исходящий журнал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Outbox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Transactionally stored records для надёжной последующей публикации events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Snapshot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Снимок состояния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Zustandsabbild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Версионированное представление state в определённой точке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Backup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Резервная копия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Sicherung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Независимая восстанавливаемая копия durable data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10. Save и restore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10. Save и restore"/>
        <w:tblDescription w:val="PLAN-001 data table: 10. Save и restore"/>
      </w:tblPr>
      <w:tblGrid>
        <w:gridCol w:w="2448"/>
        <w:gridCol w:w="2448"/>
        <w:gridCol w:w="2448"/>
        <w:gridCol w:w="2448"/>
      </w:tblGrid>
      <w:tr>
        <w:trPr>
          <w:cantSplit/>
          <w:tblHeader w:val="true"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Canonical token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Русский смысл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Немецкий эквивалент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Определение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Save Manager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Менеджер сохранения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Speicherstandsmanager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MOD-013 coordinator, управляющий общим save/restore protocol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Save Participant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Участник сохранения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Speicherteilnehmer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Модульный contract подготовки, проверки и активации своего snapshot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Checkpoint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Контрольная точка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Prüfpunkt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Координированный набор совместимых participant snapshots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Save Lineage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Линия сохранения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Speicherstandslinie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Устойчивая ветвь происхождения сохранённого мира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Stage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Подготовительная стадия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Vorbereitungsstufe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Создание non-live candidate без изменения активного state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Validate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Проверка кандидата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Kandidatenprüfung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Детерминированная проверка структуры и cross-participant invariants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Commit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Фиксация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Festschreibung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Необратимый в рамках операции переход подготовленного изменения в принятое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Atomic Restore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Атомарное восстановление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Atomare Wiederherstellung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Одновременная логическая активация всех проверенных participant states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Rollback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Откат операции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Rücknahme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Возврат к последнему доказанному состоянию после неуспешной попытки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Recovery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Восстановление после сбоя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Wiederanlauf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Процедура возвращения системы к корректному состоянию после failure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Compatibility Fixture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Фикстура совместимости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Kompatibilitätsfixture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Сохранённый тестовый образец старой версии для проверки загрузки и migration</w:t>
            </w:r>
          </w:p>
        </w:tc>
      </w:tr>
    </w:tbl>
    <w:p>
      <w:pPr>
        <w:spacing w:after="0"/>
      </w:pPr>
    </w:p>
    <w:p>
      <w:pPr>
        <w:pStyle w:val="Heading1"/>
      </w:pPr>
      <w:r>
        <w:t>11. Конфигурация и deployment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11. Конфигурация и deployment"/>
        <w:tblDescription w:val="PLAN-001 data table: 11. Конфигурация и deployment"/>
      </w:tblPr>
      <w:tblGrid>
        <w:gridCol w:w="2448"/>
        <w:gridCol w:w="2448"/>
        <w:gridCol w:w="2448"/>
        <w:gridCol w:w="2448"/>
      </w:tblGrid>
      <w:tr>
        <w:trPr>
          <w:cantSplit/>
          <w:tblHeader w:val="true"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Canonical token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Русский смысл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Немецкий эквивалент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Определение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Configuration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Конфигурация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Konfiguration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Версионируемые входные значения, изменяющие разрешённое поведение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Configuration Schema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Схема конфигурации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Konfigurationsschema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Типы, defaults, ranges, dependencies и validation rules настроек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Profile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Профиль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Profil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Именованный набор конфигурации для конкретной среды или режима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Safe Default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Безопасное значение по умолчанию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Sicherer Standardwert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Значение, минимизирующее повреждение данных и неожиданное расширение scope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Secret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Секрет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Geheimnis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Credential или key, запрещённый в документах, логах и обычной конфигурации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Deployment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Развёртывание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Bereitstellung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Установка проверенного build и его конфигурации в целевую среду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Environment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Среда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Umgebung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Определённая комбинация OS, game runtime, dependencies, config и data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Build Artifact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Артефакт сборки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Build-Artefakt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Версионированный результат build pipeline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Feature Flag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Флаг функции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Funktionsschalter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Контролируемый переключатель поведения с owner, default и removal plan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Health Check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Проверка работоспособности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Zustandsprüfung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Ограниченная диагностика readiness или liveness без изменения domain state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Degraded Mode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Ограниченный режим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Eingeschränkter Modus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Явно описанный режим с сохранёнными safety guarantees и уменьшенной функцией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12. Игра и адаптер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12. Игра и адаптер"/>
        <w:tblDescription w:val="PLAN-001 data table: 12. Игра и адаптер"/>
      </w:tblPr>
      <w:tblGrid>
        <w:gridCol w:w="2448"/>
        <w:gridCol w:w="2448"/>
        <w:gridCol w:w="2448"/>
        <w:gridCol w:w="2448"/>
      </w:tblGrid>
      <w:tr>
        <w:trPr>
          <w:cantSplit/>
          <w:tblHeader w:val="true"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Canonical token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Русский смысл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Немецкий эквивалент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Определение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Game Adapter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Игровой адаптер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Spieladapter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MOD-002 boundary между Skyrim runtime и World Engine contracts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Game Runtime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Исполняемая среда игры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Spiel-Laufzeit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Запущенная игра, её APIs, hooks и process constraints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Skyrim SE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Skyrim Special Edition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Skyrim Special Edition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Поддерживаемая ветвь Skyrim в текущем scope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Skyrim AE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Skyrim Anniversary Edition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Skyrim Anniversary Edition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Поддерживаемая distribution/runtime ветвь в текущем scope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Skyrim VR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Skyrim VR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Skyrim VR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Отдельная платформа, явно исключённая до нового ADR и tests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SKSE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Skyrim Script Extender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Skyrim Script Extender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Внешний runtime extension; не является внутренним World Engine API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Plugin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Игровой плагин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Spiel-Plugin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ESP, ESM, ESL или иной game-recognized content artifact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Native Plugin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Нативный плагин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Natives Plugin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Runtime binary, загружаемый через разрешённый Skyrim extension mechanism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Load Order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Порядок загрузки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Ladereihenfolge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Определённая последовательность game plugins, влияющая на resolved records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Form ID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Идентификатор формы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Form-ID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Skyrim-specific identity, требующая нормализации и load-order context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Game Event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Игровое событие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Spielereignis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Raw runtime signal, ещё не обязательно являющийся validated domain event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Normalized Event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Нормализованное событие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Normalisiertes Ereignis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Проверенное game-agnostic сообщение после adapter mapping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Capability Detection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Определение возможностей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Fähigkeitserkennung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Runtime-проверка доступных hooks, versions и optional features</w:t>
            </w:r>
          </w:p>
        </w:tc>
      </w:tr>
    </w:tbl>
    <w:p>
      <w:pPr>
        <w:spacing w:after="0"/>
      </w:pPr>
    </w:p>
    <w:p>
      <w:pPr>
        <w:pStyle w:val="Heading1"/>
      </w:pPr>
      <w:r>
        <w:t>13. Memory и симуляция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13. Memory и симуляция"/>
        <w:tblDescription w:val="PLAN-001 data table: 13. Memory и симуляция"/>
      </w:tblPr>
      <w:tblGrid>
        <w:gridCol w:w="2448"/>
        <w:gridCol w:w="2448"/>
        <w:gridCol w:w="2448"/>
        <w:gridCol w:w="2448"/>
      </w:tblGrid>
      <w:tr>
        <w:trPr>
          <w:cantSplit/>
          <w:tblHeader w:val="true"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Canonical token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Русский смысл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Немецкий эквивалент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Определение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Memory Engine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Движок памяти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Memory Engine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MOD-003, владелец значения, проверки, хранения и retrieval памяти NPC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Memory Record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Запись памяти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Memory-Datensatz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Durable validated fact с identity, provenance, time и retention metadata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Memory Candidate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Кандидат памяти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Memory-Kandidat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Непроверенное предложение, которое не является durable truth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Subject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Субъект памяти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Memory-Subjekt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Entity, чья память или точка зрения представлена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Provenance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Происхождение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Herkunft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Проверяемая информация о source, producer и пути появления данных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Authority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Авторитет источника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Quellenautorität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Класс доверия, определяющий допустимость и конфликтное разрешение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Confidence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Уверенность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Konfidenz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Ограниченная оценка неопределённости, не заменяющая authority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Salience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Значимость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Bedeutsamkeit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Детерминированно вычисляемая полезность записи для конкретного purpose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Retention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Удержание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Aufbewahrung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Политика срока, архивации, удаления или сохранения записи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Visibility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Видимость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Sichtbarkeit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Правило, кто и для какой цели может получить memory content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Conflict Group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Группа конфликта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Konfliktgruppe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Набор несовместимых claims, сохраняемых без ложного слияния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Supersession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Замещение записи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Ablösung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Явная связь новой записи с заменяемой без физического переписывания истории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Retrieval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Извлечение памяти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Abruf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Ограниченный query path, возвращающий релевантные разрешённые records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Context Projection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Проекция контекста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Kontextprojektion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Bounded представление memory data для конкретного consumer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14. AI, dialogue и voice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14. AI, dialogue и voice"/>
        <w:tblDescription w:val="PLAN-001 data table: 14. AI, dialogue и voice"/>
      </w:tblPr>
      <w:tblGrid>
        <w:gridCol w:w="2448"/>
        <w:gridCol w:w="2448"/>
        <w:gridCol w:w="2448"/>
        <w:gridCol w:w="2448"/>
      </w:tblGrid>
      <w:tr>
        <w:trPr>
          <w:cantSplit/>
          <w:tblHeader w:val="true"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Canonical token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Русский смысл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Немецкий эквивалент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Определение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AI Provider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AI-провайдер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AI-Anbieter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Внешняя или локальная реализация model inference behind a port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Local AI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Локальный AI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Lokale AI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Model runtime на контролируемом пользователем устройстве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LLM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Большая языковая модель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Großes Sprachmodell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Probabilistic text model; не является source of truth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Prompt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Инструкция модели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Modellanweisung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Версионируемый input template с owner и injection boundary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Context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Контекст модели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Modellkontext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Bounded набор проверенных данных, передаваемый для одного inference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Context Manager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Менеджер контекста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Kontextmanager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Компонент, управляющий budget, ordering, provenance и truncation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AI Candidate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AI-кандидат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AI-Kandidat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Непроверенный результат AI, требующий deterministic validation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Deterministic Fallback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Детерминированный fallback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Deterministische Rückfalllogik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Не-AI результат с предсказуемым поведением при failure или timeout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Dialogue Engine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Диалоговый движок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Dialog-Engine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MOD-005, владелец dialogue orchestration, не memory persistence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Voice Engine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Голосовой движок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Sprach-Engine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MOD-014, владелец TTS/STT integration и audio lifecycle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Hallucination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Недостоверная генерация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Halluzination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Output без достаточной опоры на разрешённые данные; не может стать truth напрямую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Prompt Injection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Инъекция инструкции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Prompt-Injektion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Попытка недоверенного content изменить policy или authority модели</w:t>
            </w:r>
          </w:p>
        </w:tc>
      </w:tr>
    </w:tbl>
    <w:p>
      <w:pPr>
        <w:spacing w:after="0"/>
      </w:pPr>
    </w:p>
    <w:p>
      <w:pPr>
        <w:pStyle w:val="Heading1"/>
      </w:pPr>
      <w:r>
        <w:t>15. Тестирование и доказательства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15. Тестирование и доказательства"/>
        <w:tblDescription w:val="PLAN-001 data table: 15. Тестирование и доказательства"/>
      </w:tblPr>
      <w:tblGrid>
        <w:gridCol w:w="2448"/>
        <w:gridCol w:w="2448"/>
        <w:gridCol w:w="2448"/>
        <w:gridCol w:w="2448"/>
      </w:tblGrid>
      <w:tr>
        <w:trPr>
          <w:cantSplit/>
          <w:tblHeader w:val="true"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Canonical token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Русский смысл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Немецкий эквивалент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Определение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Test Case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Тестовый случай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Testfall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Идентифицированный input, preconditions, action и expected result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Unit Test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Модульный тест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Unit-Test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Изолированная проверка малой единицы поведения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Integration Test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Интеграционный тест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Integrationstest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Проверка contract между двумя или более реальными boundaries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Acceptance Test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Приёмочный тест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Abnahmetest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Проверка пользовательского или системного результата против requirement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Regression Test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Регрессионный тест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Regressionstest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Защита ранее доказанного поведения от непреднамеренного изменения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Fixture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Фикстура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Fixture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Версионированный воспроизводимый input или environment state для теста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Test Harness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Тестовый стенд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Test-Harness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Инструменты запуска, наблюдения и контроля тестового сценария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Golden Corpus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Эталонный корпус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Referenzkorpus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Стабильный набор примеров и expected judgments для retrieval или AI evaluation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Coverage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Покрытие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Abdeckung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Измеренная связь tests с code paths или requirements; не синоним качества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Evidence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Доказательство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Nachweis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Сохраняемый результат, позволяющий независимо подтвердить claim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Pass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Пройдено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Bestanden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Наблюдаемый результат соответствует заранее определённому expectation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Waiver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Временное исключение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Ausnahmegenehmigung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Ограниченное принятие незакрытого условия с owner, reason и expiry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Blocker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Блокирующая проблема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Blocker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Условие, запрещающее переход gate до устранения или допустимого решения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16. Безопасность и privacy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16. Безопасность и privacy"/>
        <w:tblDescription w:val="PLAN-001 data table: 16. Безопасность и privacy"/>
      </w:tblPr>
      <w:tblGrid>
        <w:gridCol w:w="2448"/>
        <w:gridCol w:w="2448"/>
        <w:gridCol w:w="2448"/>
        <w:gridCol w:w="2448"/>
      </w:tblGrid>
      <w:tr>
        <w:trPr>
          <w:cantSplit/>
          <w:tblHeader w:val="true"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Canonical token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Русский смысл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Немецкий эквивалент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Определение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Trust Boundary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Граница доверия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Vertrauensgrenze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Место, где данные или управление переходят между разными уровнями доверия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Untrusted Input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Недоверенный ввод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Nicht vertrauenswürdige Eingabe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Любые внешние данные до validation и authorization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Validation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Валидация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Validierung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Проверка формы, диапазона, инвариантов и разрешённости до использования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Authorization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Разрешение действия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Autorisierung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Проверка права выполнить операцию над определённым scope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Authentication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Подтверждение субъекта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Authentifizierung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Проверка заявленной identity, если она применяется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Least Privilege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Минимальные полномочия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Minimale Rechte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Выдача только необходимых capabilities на необходимое время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Sensitive Data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Чувствительные данные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Schutzbedürftige Daten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Данные, требующие ограниченного хранения, отображения или передачи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Credential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Учётный секрет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Zugangsdaten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Token, password или key для доступа к защищённому ресурсу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Redaction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Сокрытие данных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Schwärzung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Контролируемое удаление sensitive content из представления или evidence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Audit Trail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Аудиторский след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Prüfpfad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Неизменяемая последовательность значимых действий и решений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Data Retention Policy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Политика хранения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Datenaufbewahrungsrichtlinie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Правила срока, deletion, archive и legal/project constraints</w:t>
            </w:r>
          </w:p>
        </w:tc>
      </w:tr>
    </w:tbl>
    <w:p>
      <w:pPr>
        <w:spacing w:after="0"/>
      </w:pPr>
    </w:p>
    <w:p>
      <w:pPr>
        <w:pStyle w:val="Heading1"/>
      </w:pPr>
      <w:r>
        <w:t>17. Ошибки, наблюдаемость и эксплуатация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17. Ошибки, наблюдаемость и эксплуатация"/>
        <w:tblDescription w:val="PLAN-001 data table: 17. Ошибки, наблюдаемость и эксплуатация"/>
      </w:tblPr>
      <w:tblGrid>
        <w:gridCol w:w="2448"/>
        <w:gridCol w:w="2448"/>
        <w:gridCol w:w="2448"/>
        <w:gridCol w:w="2448"/>
      </w:tblGrid>
      <w:tr>
        <w:trPr>
          <w:cantSplit/>
          <w:tblHeader w:val="true"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Canonical token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Русский смысл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Немецкий эквивалент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Определение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Error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Ошибка результата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Fehler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Ожидаемый типизированный отказ operation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Fault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Дефект выполнения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Störung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Неправильное внутреннее состояние или нарушение invariant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Failure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Наблюдаемый сбой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Ausfall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Неспособность предоставить обещанное поведение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Exception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Исключение runtime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Ausnahme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Механизм передачи abnormal control flow; не taxonomy domain errors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Error Code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Код ошибки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Fehlercode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Стабильный machine-readable identifier failure class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Retryable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Допускает повтор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Wiederholbar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Операция может быть безопасно повторена при определённых условиях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Timeout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Превышение времени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Zeitüberschreitung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Operation не завершилась в установленный budget; итог может требовать reconciliation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Log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Журнал выполнения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Laufzeitprotokoll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Структурированная запись диагностического факта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Metric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Метрика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Metrik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Числовой time-series signal с единицей и semantics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Trace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Трасса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Ablaufspur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Связанный путь одной операции через components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Observability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Наблюдаемость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Beobachtbarkeit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Способность объяснить внутреннее состояние по logs, metrics и traces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Runbook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Эксплуатационная инструкция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Betriebsanleitung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Проверенная последовательность диагностики, recovery и escalation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Incident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Инцидент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Vorfall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Сбой или риск, требующий управляемой response и lessons learned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18. Версии, совместимость и релиз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18. Версии, совместимость и релиз"/>
        <w:tblDescription w:val="PLAN-001 data table: 18. Версии, совместимость и релиз"/>
      </w:tblPr>
      <w:tblGrid>
        <w:gridCol w:w="2448"/>
        <w:gridCol w:w="2448"/>
        <w:gridCol w:w="2448"/>
        <w:gridCol w:w="2448"/>
      </w:tblGrid>
      <w:tr>
        <w:trPr>
          <w:cantSplit/>
          <w:tblHeader w:val="true"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Canonical token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Русский смысл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Немецкий эквивалент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Определение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Version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Версия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Version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Идентификатор состояния contract, document или artifact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Semantic Versioning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Семантическое версионирование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Semantische Versionierung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MAJOR.MINOR.PATCH с объявленными compatibility semantics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Contract Version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Версия контракта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Vertragsversion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Версия public schema или behavior независимо от package build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Schema Version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Версия схемы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Schemaversion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Версия serialised или persisted structure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Backward Compatible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Обратно совместимо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Rückwärtskompatibel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Новый consumer или system продолжает принимать разрешённые старые inputs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Forward Compatible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Прямо совместимо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Vorwärtskompatibel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Старый consumer корректно обрабатывает или отвергает расширенный новый input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Breaking Change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Несовместимое изменение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Inkompatible Änderung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Изменение, нарушающее ранее обещанный contract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Deprecation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Объявление устаревания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Abkündigung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Период контролируемого вывода contract до removal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Release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Релиз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Veröffentlichung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Идентифицированный проверенный набор artifacts для определённого scope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Release Candidate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Кандидат релиза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Veröffentlichungskandidat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Immutable build, проходящий финальные gates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Rollback Plan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План отката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Rücknahmeplan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Проверенная процедура возврата к предыдущему release</w:t>
            </w:r>
          </w:p>
        </w:tc>
      </w:tr>
    </w:tbl>
    <w:p>
      <w:pPr>
        <w:spacing w:after="0"/>
      </w:pPr>
    </w:p>
    <w:p>
      <w:pPr>
        <w:pStyle w:val="Heading1"/>
      </w:pPr>
      <w:r>
        <w:t>19. Git и рабочий процесс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19. Git и рабочий процесс"/>
        <w:tblDescription w:val="PLAN-001 data table: 19. Git и рабочий процесс"/>
      </w:tblPr>
      <w:tblGrid>
        <w:gridCol w:w="2448"/>
        <w:gridCol w:w="2448"/>
        <w:gridCol w:w="2448"/>
        <w:gridCol w:w="2448"/>
      </w:tblGrid>
      <w:tr>
        <w:trPr>
          <w:cantSplit/>
          <w:tblHeader w:val="true"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Canonical token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Русский смысл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Немецкий эквивалент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Определение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Repository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Git-репозиторий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Git-Repository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Версионируемая история проекта; не путать с data repository contract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Branch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Ветка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Zweig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Именованный указатель на последовательность commits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Worktree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Рабочее дерево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Arbeitsbaum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Отдельный checkout одной ветки, связанный с общим repository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Commit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Коммит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Commit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Atomic version-control record с одним объяснимым intent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Merge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Слияние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Zusammenführung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Интеграция проверенной истории одной ветки в другую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Rebase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Перенос истории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Umbasierung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Переписывание commit base; запрещено для опубликованной общей истории без правила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Pull Request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Запрос интеграции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Integrationsanfrage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Review boundary для изменений, evidence и решения merge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Main Branch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Основная ветка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Hauptzweig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Защищённая интеграционная история; не место незавершённой работы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Audit Branch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Аудиторская ветка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Auditzweig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Изолированная ветка для проверки и исправления документов или architecture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Feature Branch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Ветка изменения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Änderungszweig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Ограниченная ветка одной реализации или документационного пакета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Dirty Worktree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Рабочее дерево с изменениями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Geänderter Arbeitsbaum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Checkout с незакоммиченными tracked или untracked files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20. Риски и решения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20. Риски и решения"/>
        <w:tblDescription w:val="PLAN-001 data table: 20. Риски и решения"/>
      </w:tblPr>
      <w:tblGrid>
        <w:gridCol w:w="2448"/>
        <w:gridCol w:w="2448"/>
        <w:gridCol w:w="2448"/>
        <w:gridCol w:w="2448"/>
      </w:tblGrid>
      <w:tr>
        <w:trPr>
          <w:cantSplit/>
          <w:tblHeader w:val="true"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Canonical token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Русский смысл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Немецкий эквивалент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Определение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Risk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Риск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Risiko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Неопределённое событие, способное изменить цель, срок, качество или безопасность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Issue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Текущая проблема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Aktuelles Problem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Уже возникшее состояние, требующее действия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Assumption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Допущение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Annahme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Условие, считающееся истинным до проверки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Constraint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Ограничение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Randbedingung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Условие, которое решение обязано соблюдать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Probability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Вероятность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Wahrscheinlichkeit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Оценка возможности наступления риска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Impact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Влияние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Auswirkung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Оценка последствий риска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Mitigation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Снижение риска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Risikominderung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Действие, уменьшающее probability или impact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Contingency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План на случай риска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Notfallmaßnahme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Действие после наступления trigger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Residual Risk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Остаточный риск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Restrisiko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Риск, оставшийся после controls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Decision Record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Запись решения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Entscheidungsprotokoll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Сохраняемый контекст, варианты, решение и последствия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Open Decision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Открытое решение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Offene Entscheidung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Вопрос с owner и deadline, ещё не меняющий baseline</w:t>
            </w:r>
          </w:p>
        </w:tc>
      </w:tr>
    </w:tbl>
    <w:p>
      <w:pPr>
        <w:spacing w:after="0"/>
      </w:pPr>
    </w:p>
    <w:p>
      <w:pPr>
        <w:pStyle w:val="Heading1"/>
      </w:pPr>
      <w:r>
        <w:t>21. Время, порядок и конкурентность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21. Время, порядок и конкурентность"/>
        <w:tblDescription w:val="PLAN-001 data table: 21. Время, порядок и конкурентность"/>
      </w:tblPr>
      <w:tblGrid>
        <w:gridCol w:w="2448"/>
        <w:gridCol w:w="2448"/>
        <w:gridCol w:w="2448"/>
        <w:gridCol w:w="2448"/>
      </w:tblGrid>
      <w:tr>
        <w:trPr>
          <w:cantSplit/>
          <w:tblHeader w:val="true"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Canonical token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Русский смысл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Немецкий эквивалент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Определение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Instant UTC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Момент UTC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UTC-Zeitpunkt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Абсолютное machine timestamp в UTC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Domain Time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Доменное время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Domänenzeit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Игровая или simulation time шкала с собственными правилами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Monotonic Time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Монотонное время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Monotone Zeit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Источник duration, не уменьшающийся при изменении wall clock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Tick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Такт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Takt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Дискретный scheduler step; размер и semantics должны быть объявлены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Sequence Number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Порядковый номер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Sequenznummer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Монотонный номер внутри явно указанного scope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Deterministic Order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Детерминированный порядок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Deterministische Reihenfolge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Одинаковый порядок при одинаковых inputs и state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Concurrency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Конкурентное выполнение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Nebenläufigkeit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Перекрывающиеся операции, требующие явной consistency policy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Race Condition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Состояние гонки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Race Condition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Результат зависит от неконтролируемого interleaving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Cancellation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Отмена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Abbruch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Кооперативное прекращение operation с определённым outcome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Deadline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Предельный момент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Fristzeitpunkt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Абсолютная граница завершения operation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Duration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Длительность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Dauer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Интервал с обязательной единицей измерения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22. Аббревиатуры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22. Аббревиатуры"/>
        <w:tblDescription w:val="PLAN-001 data table: 22. Аббревиатуры"/>
      </w:tblPr>
      <w:tblGrid>
        <w:gridCol w:w="3264"/>
        <w:gridCol w:w="3264"/>
        <w:gridCol w:w="3264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Token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Полная форма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Значение в проекте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ADR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Architecture Decision Record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Запись архитектурного решения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API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Application Programming Interface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Версионируемая программная граница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AI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Artificial Intelligence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Общий класс AI integrations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LLM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Large Language Model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Языковая модель probabilistic generation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NPC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Non-Player Character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Игровой персонаж, не управляемый игроком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Special Edition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Поддерживаемая Skyrim distribution ветвь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Anniversary Edition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Поддерживаемая Skyrim distribution/runtime ветвь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VR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Virtual Reality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Исключённая текущая Skyrim platform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SKSE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Skyrim Script Extender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Внешний extension runtime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ESP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Elder Scrolls Plugin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Формат игрового plugin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ESM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Elder Scrolls Master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Master plugin format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ESL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Elder Scrolls Light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Light plugin format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TTS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Text to Speech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Синтез речи из текста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STT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Speech to Text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Распознавание речи в текст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FTS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Full Text Search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Полнотекстовый поиск, требующий отдельного решения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CI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Continuous Integration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Автоматическая интеграционная проверка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QA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Quality Assurance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Процесс и доказательства качества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UTC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Coordinated Universal Time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Базовая absolute time zone</w:t>
            </w:r>
          </w:p>
        </w:tc>
      </w:tr>
    </w:tbl>
    <w:p>
      <w:pPr>
        <w:spacing w:after="0"/>
      </w:pPr>
    </w:p>
    <w:p>
      <w:pPr>
        <w:pStyle w:val="Heading1"/>
      </w:pPr>
      <w:r>
        <w:t>23. Запрещённые неоднозначности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23. Запрещённые неоднозначности"/>
        <w:tblDescription w:val="PLAN-001 data table: 23. Запрещённые неоднозначности"/>
      </w:tblPr>
      <w:tblGrid>
        <w:gridCol w:w="3264"/>
        <w:gridCol w:w="3264"/>
        <w:gridCol w:w="3264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Не использовать без уточнения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Причина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Требуемая формулировка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Готово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Неясно, документ или код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Document Complete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73A57"/>
                <w:sz w:val="15"/>
              </w:rPr>
              <w:t>Implementation Verified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 или точный status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Сервис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Неясна роль и boundary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Application Service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73A57"/>
                <w:sz w:val="15"/>
              </w:rPr>
              <w:t>Repository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73A57"/>
                <w:sz w:val="15"/>
              </w:rPr>
              <w:t>Adapter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 или конкретное имя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Менеджер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Может скрывать чрезмерную ответственность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Назвать owned lifecycle, например </w:t>
            </w:r>
            <w:r>
              <w:rPr>
                <w:rFonts w:ascii="Consolas" w:hAnsi="Consolas" w:eastAsia="Consolas"/>
                <w:color w:val="173A57"/>
                <w:sz w:val="15"/>
              </w:rPr>
              <w:t>Save Manager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Данные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Неясны owner, durability и schema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Domain State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73A57"/>
                <w:sz w:val="15"/>
              </w:rPr>
              <w:t>Durable State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73A57"/>
                <w:sz w:val="15"/>
              </w:rPr>
              <w:t>Configuration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 или конкретный record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Событие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Может быть raw signal, command или fact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Game Event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73A57"/>
                <w:sz w:val="15"/>
              </w:rPr>
              <w:t>Domain Event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73A57"/>
                <w:sz w:val="15"/>
              </w:rPr>
              <w:t>Integration Event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 или </w:t>
            </w:r>
            <w:r>
              <w:rPr>
                <w:rFonts w:ascii="Consolas" w:hAnsi="Consolas" w:eastAsia="Consolas"/>
                <w:color w:val="173A57"/>
                <w:sz w:val="15"/>
              </w:rPr>
              <w:t>Command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ID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Неясен scope и стабильность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WorldId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73A57"/>
                <w:sz w:val="15"/>
              </w:rPr>
              <w:t>ModuleId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73A57"/>
                <w:sz w:val="15"/>
              </w:rPr>
              <w:t>CorrelationId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 и подобный typed identifier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Версия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Неясен объект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Document Version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73A57"/>
                <w:sz w:val="15"/>
              </w:rPr>
              <w:t>Contract Version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73A57"/>
                <w:sz w:val="15"/>
              </w:rPr>
              <w:t>Schema Version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 или </w:t>
            </w:r>
            <w:r>
              <w:rPr>
                <w:rFonts w:ascii="Consolas" w:hAnsi="Consolas" w:eastAsia="Consolas"/>
                <w:color w:val="173A57"/>
                <w:sz w:val="15"/>
              </w:rPr>
              <w:t>Build Version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Сохранение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Неясны game save и World Engine checkpoint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Game Save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73A57"/>
                <w:sz w:val="15"/>
              </w:rPr>
              <w:t>Checkpoint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 или </w:t>
            </w:r>
            <w:r>
              <w:rPr>
                <w:rFonts w:ascii="Consolas" w:hAnsi="Consolas" w:eastAsia="Consolas"/>
                <w:color w:val="173A57"/>
                <w:sz w:val="15"/>
              </w:rPr>
              <w:t>Save Participant Snapshot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Память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Неясны runtime memory и NPC memory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Process Memory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73A57"/>
                <w:sz w:val="15"/>
              </w:rPr>
              <w:t>Memory Record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 или </w:t>
            </w:r>
            <w:r>
              <w:rPr>
                <w:rFonts w:ascii="Consolas" w:hAnsi="Consolas" w:eastAsia="Consolas"/>
                <w:color w:val="173A57"/>
                <w:sz w:val="15"/>
              </w:rPr>
              <w:t>Memory Engine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Ошибка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Смешивает expected error и fault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Error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73A57"/>
                <w:sz w:val="15"/>
              </w:rPr>
              <w:t>Fault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73A57"/>
                <w:sz w:val="15"/>
              </w:rPr>
              <w:t>Failure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 или конкретный Error Code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Поддерживается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Не указана степень доказательства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Указать platform version, capability и test evidence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Совместимо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Не указано направление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5"/>
              </w:rPr>
              <w:t>Backward Compatible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 или </w:t>
            </w:r>
            <w:r>
              <w:rPr>
                <w:rFonts w:ascii="Consolas" w:hAnsi="Consolas" w:eastAsia="Consolas"/>
                <w:color w:val="173A57"/>
                <w:sz w:val="15"/>
              </w:rPr>
              <w:t>Forward Compatible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 плюс версии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24. Правила перевода</w:t>
      </w:r>
    </w:p>
    <w:p>
      <w:pPr>
        <w:pStyle w:val="ListNumber"/>
      </w:pPr>
      <w:r>
        <w:rPr>
          <w:rFonts w:ascii="Helvetica Neue" w:hAnsi="Helvetica Neue" w:eastAsia="Helvetica Neue"/>
        </w:rPr>
        <w:t>Идентификаторы кода, events, fields, metrics и config keys не переводятся.</w:t>
      </w:r>
    </w:p>
    <w:p>
      <w:pPr>
        <w:pStyle w:val="ListNumber"/>
      </w:pPr>
      <w:r>
        <w:rPr>
          <w:rFonts w:ascii="Helvetica Neue" w:hAnsi="Helvetica Neue" w:eastAsia="Helvetica Neue"/>
        </w:rPr>
        <w:t>Название World Engine и IDs документов остаются неизменными.</w:t>
      </w:r>
    </w:p>
    <w:p>
      <w:pPr>
        <w:pStyle w:val="ListNumber"/>
      </w:pPr>
      <w:r>
        <w:rPr>
          <w:rFonts w:ascii="Helvetica Neue" w:hAnsi="Helvetica Neue" w:eastAsia="Helvetica Neue"/>
        </w:rPr>
        <w:t>При первом употреблении специализированного термина перевод сопровождается canonical token.</w:t>
      </w:r>
    </w:p>
    <w:p>
      <w:pPr>
        <w:pStyle w:val="ListNumber"/>
      </w:pPr>
      <w:r>
        <w:rPr>
          <w:rFonts w:ascii="Helvetica Neue" w:hAnsi="Helvetica Neue" w:eastAsia="Helvetica Neue"/>
        </w:rPr>
        <w:t>RU и DE не создают независимые синонимы для одного technical token.</w:t>
      </w:r>
    </w:p>
    <w:p>
      <w:pPr>
        <w:pStyle w:val="ListNumber"/>
      </w:pPr>
      <w:r>
        <w:rPr>
          <w:rFonts w:ascii="Helvetica Neue" w:hAnsi="Helvetica Neue" w:eastAsia="Helvetica Neue"/>
        </w:rPr>
        <w:t xml:space="preserve">Модальные слова </w:t>
      </w:r>
      <w:r>
        <w:rPr>
          <w:rFonts w:ascii="Consolas" w:hAnsi="Consolas" w:eastAsia="Consolas"/>
          <w:color w:val="173A57"/>
          <w:sz w:val="15"/>
        </w:rPr>
        <w:t>MUST</w:t>
      </w:r>
      <w:r>
        <w:rPr>
          <w:rFonts w:ascii="Helvetica Neue" w:hAnsi="Helvetica Neue" w:eastAsia="Helvetica Neue"/>
        </w:rPr>
        <w:t xml:space="preserve">, </w:t>
      </w:r>
      <w:r>
        <w:rPr>
          <w:rFonts w:ascii="Consolas" w:hAnsi="Consolas" w:eastAsia="Consolas"/>
          <w:color w:val="173A57"/>
          <w:sz w:val="15"/>
        </w:rPr>
        <w:t>SHOULD</w:t>
      </w:r>
      <w:r>
        <w:rPr>
          <w:rFonts w:ascii="Helvetica Neue" w:hAnsi="Helvetica Neue" w:eastAsia="Helvetica Neue"/>
        </w:rPr>
        <w:t xml:space="preserve">, </w:t>
      </w:r>
      <w:r>
        <w:rPr>
          <w:rFonts w:ascii="Consolas" w:hAnsi="Consolas" w:eastAsia="Consolas"/>
          <w:color w:val="173A57"/>
          <w:sz w:val="15"/>
        </w:rPr>
        <w:t>MAY</w:t>
      </w:r>
      <w:r>
        <w:rPr>
          <w:rFonts w:ascii="Helvetica Neue" w:hAnsi="Helvetica Neue" w:eastAsia="Helvetica Neue"/>
        </w:rPr>
        <w:t xml:space="preserve"> сохраняют силу во всех языках.</w:t>
      </w:r>
    </w:p>
    <w:p>
      <w:pPr>
        <w:pStyle w:val="ListNumber"/>
      </w:pPr>
      <w:r>
        <w:rPr>
          <w:rFonts w:ascii="Helvetica Neue" w:hAnsi="Helvetica Neue" w:eastAsia="Helvetica Neue"/>
        </w:rPr>
        <w:t>Числа, units, versions, enum values и error codes должны совпадать точно.</w:t>
      </w:r>
    </w:p>
    <w:p>
      <w:pPr>
        <w:pStyle w:val="ListNumber"/>
      </w:pPr>
      <w:r>
        <w:rPr>
          <w:rFonts w:ascii="Helvetica Neue" w:hAnsi="Helvetica Neue" w:eastAsia="Helvetica Neue"/>
        </w:rPr>
        <w:t>Если естественный перевод меняет boundary, используется английский token с пояснением.</w:t>
      </w:r>
    </w:p>
    <w:p>
      <w:pPr>
        <w:pStyle w:val="Heading1"/>
      </w:pPr>
      <w:r>
        <w:t>25. Введение нового термина</w:t>
      </w:r>
    </w:p>
    <w:p>
      <w:r>
        <w:rPr>
          <w:rFonts w:ascii="Helvetica Neue" w:hAnsi="Helvetica Neue" w:eastAsia="Helvetica Neue"/>
        </w:rPr>
        <w:t>Новый public term сначала получает proposed canonical token, краткое определение, owner, scope, запрет смешения и минимум один пример. Термин, затрагивающий architecture semantics, требует review Architecture Owner; термин, меняющий принятое решение, требует ADR. После принятия обновляются STD-001, STD-002 при необходимости, затронутые contracts и tests.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25. Введение нового термина"/>
        <w:tblDescription w:val="PLAN-001 data table: 25. Введение нового термина"/>
      </w:tblPr>
      <w:tblGrid>
        <w:gridCol w:w="3264"/>
        <w:gridCol w:w="3264"/>
        <w:gridCol w:w="3264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Gate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Вопрос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Доказательство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T1 Need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Нужна ли новая концепция, а не синоним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Поиск по canonical corpus и конфликтная карта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T2 Meaning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Есть ли одно проверяемое определение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Definition, scope, owner и non-example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T3 Naming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Соответствует ли token STD-002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Naming review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T4 Compatibility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Ломает ли изменение существующие contracts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Impact и migration plan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T5 Publication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Обновлены ли обе языковые версии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RU/DE parity и canonical index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26. Acceptance criteria</w:t>
      </w:r>
    </w:p>
    <w:p>
      <w:pPr>
        <w:pStyle w:val="ListBullet"/>
      </w:pPr>
      <w:r>
        <w:rPr>
          <w:rFonts w:ascii="Helvetica Neue" w:hAnsi="Helvetica Neue" w:eastAsia="Helvetica Neue"/>
        </w:rPr>
        <w:t>Каждый public документ использует canonical status vocabulary.</w:t>
      </w:r>
    </w:p>
    <w:p>
      <w:pPr>
        <w:pStyle w:val="ListBullet"/>
      </w:pPr>
      <w:r>
        <w:rPr>
          <w:rFonts w:ascii="Helvetica Neue" w:hAnsi="Helvetica Neue" w:eastAsia="Helvetica Neue"/>
        </w:rPr>
        <w:t>Каждый новый public identifier ссылается на определённый concept.</w:t>
      </w:r>
    </w:p>
    <w:p>
      <w:pPr>
        <w:pStyle w:val="ListBullet"/>
      </w:pPr>
      <w:r>
        <w:rPr>
          <w:rFonts w:ascii="Helvetica Neue" w:hAnsi="Helvetica Neue" w:eastAsia="Helvetica Neue"/>
        </w:rPr>
        <w:t>RU и DE сохраняют одинаковые tokens, числовые значения и модальную силу.</w:t>
      </w:r>
    </w:p>
    <w:p>
      <w:pPr>
        <w:pStyle w:val="ListBullet"/>
      </w:pPr>
      <w:r>
        <w:rPr>
          <w:rFonts w:ascii="Helvetica Neue" w:hAnsi="Helvetica Neue" w:eastAsia="Helvetica Neue"/>
        </w:rPr>
        <w:t>Поиск запрещённых неоднозначностей не обнаруживает необъяснённых употреблений в normative clauses.</w:t>
      </w:r>
    </w:p>
    <w:p>
      <w:pPr>
        <w:pStyle w:val="ListBullet"/>
      </w:pPr>
      <w:r>
        <w:rPr>
          <w:rFonts w:ascii="Helvetica Neue" w:hAnsi="Helvetica Neue" w:eastAsia="Helvetica Neue"/>
        </w:rPr>
        <w:t>Термины module, port, adapter, repository, event, command, query и result не используются взаимозаменяемо.</w:t>
      </w:r>
    </w:p>
    <w:p>
      <w:pPr>
        <w:pStyle w:val="ListBullet"/>
      </w:pPr>
      <w:r>
        <w:rPr>
          <w:rFonts w:ascii="Helvetica Neue" w:hAnsi="Helvetica Neue" w:eastAsia="Helvetica Neue"/>
        </w:rPr>
        <w:t>AI output нигде не называется truth до deterministic validation.</w:t>
      </w:r>
    </w:p>
    <w:p>
      <w:pPr>
        <w:pStyle w:val="ListBullet"/>
      </w:pPr>
      <w:r>
        <w:rPr>
          <w:rFonts w:ascii="Helvetica Neue" w:hAnsi="Helvetica Neue" w:eastAsia="Helvetica Neue"/>
        </w:rPr>
        <w:t>Complete документа не интерпретируется как Implemented или Verified программного компонента.</w:t>
      </w:r>
    </w:p>
    <w:p>
      <w:pPr>
        <w:pStyle w:val="ListBullet"/>
      </w:pPr>
      <w:r>
        <w:rPr>
          <w:rFonts w:ascii="Helvetica Neue" w:hAnsi="Helvetica Neue" w:eastAsia="Helvetica Neue"/>
        </w:rPr>
        <w:t>Skyrim VR нигде не считается частью текущего supported scope.</w:t>
      </w:r>
    </w:p>
    <w:p>
      <w:r>
        <w:br w:type="page"/>
      </w:r>
    </w:p>
    <w:p>
      <w:pPr>
        <w:pStyle w:val="Heading1"/>
      </w:pPr>
      <w:r>
        <w:t>Приложение A. Быстрая статусная формула</w:t>
      </w:r>
    </w:p>
    <w:p>
      <w:r>
        <w:rPr>
          <w:rFonts w:ascii="Helvetica Neue" w:hAnsi="Helvetica Neue" w:eastAsia="Helvetica Neue"/>
        </w:rPr>
        <w:t xml:space="preserve">Рекомендуемая запись состояния имеет форму: </w:t>
      </w:r>
      <w:r>
        <w:rPr>
          <w:rFonts w:ascii="Consolas" w:hAnsi="Consolas" w:eastAsia="Consolas"/>
          <w:color w:val="173A57"/>
          <w:sz w:val="15"/>
        </w:rPr>
        <w:t>Document Status; Implementation Status; Verification Scope; Evidence</w:t>
      </w:r>
      <w:r>
        <w:rPr>
          <w:rFonts w:ascii="Helvetica Neue" w:hAnsi="Helvetica Neue" w:eastAsia="Helvetica Neue"/>
        </w:rPr>
        <w:t xml:space="preserve">. Пример: </w:t>
      </w:r>
      <w:r>
        <w:rPr>
          <w:rFonts w:ascii="Consolas" w:hAnsi="Consolas" w:eastAsia="Consolas"/>
          <w:color w:val="173A57"/>
          <w:sz w:val="15"/>
        </w:rPr>
        <w:t>Complete; Prototype; build and in-game validation pending; MOD-002 specification v2.0</w:t>
      </w:r>
      <w:r>
        <w:rPr>
          <w:rFonts w:ascii="Helvetica Neue" w:hAnsi="Helvetica Neue" w:eastAsia="Helvetica Neue"/>
        </w:rPr>
        <w:t>.</w:t>
      </w:r>
    </w:p>
    <w:p>
      <w:r>
        <w:br w:type="page"/>
      </w:r>
    </w:p>
    <w:p>
      <w:pPr>
        <w:pStyle w:val="Heading1"/>
      </w:pPr>
      <w:r>
        <w:t>Приложение B. Термины с разными значениями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Приложение B. Термины с разными значениями"/>
        <w:tblDescription w:val="PLAN-001 data table: Приложение B. Термины с разными значениями"/>
      </w:tblPr>
      <w:tblGrid>
        <w:gridCol w:w="3264"/>
        <w:gridCol w:w="3264"/>
        <w:gridCol w:w="3264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Token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Разрешённые значения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Обязательное уточнение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Repository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Git Repository или Repository Contract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Всегда указывать </w:t>
            </w:r>
            <w:r>
              <w:rPr>
                <w:rFonts w:ascii="Consolas" w:hAnsi="Consolas" w:eastAsia="Consolas"/>
                <w:color w:val="173A57"/>
                <w:sz w:val="15"/>
              </w:rPr>
              <w:t>Git</w:t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 xml:space="preserve"> либо domain name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Runtime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Game Runtime, AI Runtime или Process Runtime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Всегда указывать владельца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Plugin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Game Plugin или Native Plugin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Указывать artifact kind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Save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Game Save или World Engine Checkpoint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Не использовать одиночное слово в contracts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Context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Operation Context, Permission Context или AI Context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Указывать purpose и boundary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Model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Domain Model, Data Model или AI Model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Указывать класс модели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Приложение C. Traceability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Приложение C. Traceability"/>
        <w:tblDescription w:val="PLAN-001 data table: Приложение C. Traceability"/>
      </w:tblPr>
      <w:tblGrid>
        <w:gridCol w:w="4896"/>
        <w:gridCol w:w="4896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Источник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Зафиксированное влияние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PLAN-001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Статусы, delivery denominator и Foundation Gates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ARCH-002/004/005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Layers, module boundaries и dependency direction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ARCH-007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Runtime interactions и sequence terminology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ARCH-009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Configuration vocabulary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ARCH-011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Save Participant и atomic restore vocabulary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ARCH-012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AI boundary и source-of-truth rules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ADR-002/003/005/008/009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Events, persistence, save, contract ownership и Skyrim scope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MOD-001/002/003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Core, Game Adapter и Memory Engine domain vocabulary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Приложение D. Журнал изменений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Приложение D. Журнал изменений"/>
        <w:tblDescription w:val="PLAN-001 data table: Приложение D. Журнал изменений"/>
      </w:tblPr>
      <w:tblGrid>
        <w:gridCol w:w="3264"/>
        <w:gridCol w:w="3264"/>
        <w:gridCol w:w="3264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Версия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Дата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Изменение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1.0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2026-09-05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Создан полный RU/DE/EN glossary для governance, architecture, modules, events, persistence, save, AI, testing, operations, Git и risk terminology.</w:t>
            </w:r>
          </w:p>
        </w:tc>
      </w:tr>
    </w:tbl>
    <w:p>
      <w:pPr>
        <w:spacing w:after="0"/>
      </w:pPr>
    </w:p>
    <w:sectPr>
      <w:headerReference w:type="default" r:id="rId9"/>
      <w:footerReference w:type="default" r:id="rId10"/>
      <w:pgSz w:w="12240" w:h="15840"/>
      <w:pgMar w:top="1224" w:right="1224" w:bottom="1152" w:left="1224" w:header="403" w:footer="4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0939A4" w14:textId="77777777">
      <w:r>
        <w:separator/>
      </w:r>
    </w:p>
  </w:endnote>
  <w:endnote w:type="continuationSeparator" w:id="0">
    <w:p w14:paraId="56A038B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D3E6FD9-D3EA-0B48-A55F-C080D5A51BF2}"/>
    <w:embedBold r:id="rId2" w:fontKey="{DDFB625A-45BE-CE44-B15E-DF5BB7815FF7}"/>
    <w:embedItalic r:id="rId3" w:fontKey="{6119CEB5-DE25-6D4D-B2F9-50E47E40CFE1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F3731299-A1D5-B542-9E67-1B0FA6F28CD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682841DE-6A2C-764D-8B8B-541E954AD362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9" w:fontKey="{D4D164A4-8B83-F44E-A13B-A0908815976C}"/>
  </w:font>
  <w:font w:name="Cambria">
    <w:panose1 w:val="02040503050406030204"/>
    <w:charset w:val="00"/>
    <w:family w:val="roman"/>
    <w:notTrueType/>
    <w:pitch w:val="default"/>
    <w:embedRegular r:id="rId10" w:fontKey="{129DD48A-EFF5-1A47-8CFE-E7D5F089F4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jc w:val="right"/>
    </w:pPr>
    <w:r>
      <w:rPr>
        <w:rFonts w:ascii="Helvetica Neue" w:hAnsi="Helvetica Neue" w:eastAsia="Helvetica Neue"/>
        <w:color w:val="505A60"/>
        <w:sz w:val="14"/>
      </w:rPr>
      <w:t xml:space="preserve">v1.0  •  CURRENT  •  </w:t>
    </w:r>
    <w:r>
      <w:rPr>
        <w:rFonts w:ascii="Helvetica Neue" w:hAnsi="Helvetica Neue" w:eastAsia="Helvetica Neue"/>
        <w:color w:val="505A60"/>
        <w:sz w:val="14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Helvetica Neue" w:hAnsi="Helvetica Neue" w:eastAsia="Helvetica Neue"/>
        <w:color w:val="505A60"/>
        <w:sz w:val="14"/>
      </w:rPr>
      <w:t xml:space="preserve">  |  </w:t>
    </w:r>
    <w:r>
      <w:rPr>
        <w:rFonts w:ascii="Helvetica Neue" w:hAnsi="Helvetica Neue" w:eastAsia="Helvetica Neue"/>
        <w:color w:val="505A60"/>
        <w:sz w:val="14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94D08F" w14:textId="77777777">
      <w:r>
        <w:separator/>
      </w:r>
    </w:p>
  </w:footnote>
  <w:footnote w:type="continuationSeparator" w:id="0">
    <w:p w14:paraId="4AF4CD8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spacing w:after="40"/>
      <w:jc w:val="right"/>
      <w:pBdr>
        <w:bottom w:val="single" w:sz="8" w:space="3" w:color="147C91"/>
      </w:pBdr>
    </w:pPr>
    <w:r>
      <w:rPr>
        <w:rFonts w:ascii="Helvetica Neue" w:hAnsi="Helvetica Neue" w:eastAsia="Helvetica Neue"/>
        <w:b/>
        <w:color w:val="111111"/>
        <w:sz w:val="14"/>
      </w:rPr>
      <w:t>WORLD ENGINE   /   STD-001   /   RU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D01B79"/>
    <w:multiLevelType w:val="multilevel"/>
    <w:tmpl w:val="66202F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A8E1372"/>
    <w:multiLevelType w:val="multilevel"/>
    <w:tmpl w:val="CAB63DA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60104273">
    <w:abstractNumId w:val="1"/>
  </w:num>
  <w:num w:numId="2" w16cid:durableId="5625620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80917"/>
  <w15:docId w15:val="{05643887-4187-7F4D-B23A-57FBA86AE336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/>
      <w:spacing w:before="0" w:after="100" w:line="254" w:lineRule="auto"/>
    </w:pPr>
    <w:rPr>
      <w:rFonts w:ascii="Helvetica Neue" w:hAnsi="Helvetica Neue" w:eastAsia="Helvetica Neue" w:cs="Helvetica Neue"/>
      <w:b w:val="0"/>
      <w:color w:val="111111"/>
      <w:sz w:val="19"/>
      <w:lang w:val="ru-RU" w:eastAsia="ru-RU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60" w:after="120" w:line="259" w:lineRule="auto"/>
      <w:outlineLvl w:val="0"/>
    </w:pPr>
    <w:rPr>
      <w:rFonts w:ascii="Helvetica Neue" w:eastAsia="Helvetica Neue" w:hAnsi="Helvetica Neue" w:cs="Helvetica Neue"/>
      <w:b/>
      <w:bCs/>
      <w:color w:val="111111"/>
      <w:sz w:val="34"/>
      <w:szCs w:val="30"/>
      <w:lang w:val="ru-RU" w:eastAsia="ru-RU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00" w:after="80" w:line="259" w:lineRule="auto"/>
      <w:outlineLvl w:val="1"/>
    </w:pPr>
    <w:rPr>
      <w:rFonts w:ascii="Helvetica Neue" w:eastAsia="Helvetica Neue" w:hAnsi="Helvetica Neue" w:cs="Helvetica Neue"/>
      <w:b/>
      <w:bCs/>
      <w:color w:val="111111"/>
      <w:sz w:val="25"/>
      <w:lang w:val="ru-RU" w:eastAsia="ru-RU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160" w:after="60" w:line="259" w:lineRule="auto"/>
      <w:outlineLvl w:val="2"/>
    </w:pPr>
    <w:rPr>
      <w:rFonts w:ascii="Helvetica Neue" w:hAnsi="Helvetica Neue" w:eastAsia="Helvetica Neue" w:cs="Helvetica Neue"/>
      <w:b/>
      <w:bCs/>
      <w:color w:val="111111"/>
      <w:sz w:val="21"/>
      <w:lang w:val="ru-RU" w:eastAsia="ru-RU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spacing w:before="0" w:after="200" w:line="259" w:lineRule="auto"/>
      <w:jc w:val="center"/>
    </w:pPr>
    <w:rPr>
      <w:rFonts w:ascii="Helvetica Neue" w:eastAsia="Helvetica Neue" w:hAnsi="Helvetica Neue" w:cs="Helvetica Neue"/>
      <w:b/>
      <w:bCs/>
      <w:color w:val="111111"/>
      <w:sz w:val="54"/>
      <w:szCs w:val="72"/>
      <w:lang w:val="ru-RU" w:eastAsia="ru-RU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160" w:line="259" w:lineRule="auto"/>
    </w:pPr>
    <w:rPr>
      <w:rFonts w:ascii="Helvetica Neue" w:eastAsia="Helvetica Neue" w:hAnsi="Helvetica Neue" w:cs="Georgia"/>
      <w:b w:val="0"/>
      <w:i/>
      <w:iCs/>
      <w:color w:val="000000"/>
      <w:sz w:val="22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customStyle="1" w:styleId="Caption">
    <w:name w:val="caption"/>
    <w:pPr>
      <w:spacing w:before="80" w:after="160" w:line="259" w:lineRule="auto"/>
    </w:pPr>
    <w:rPr>
      <w:rFonts w:ascii="Helvetica Neue" w:hAnsi="Helvetica Neue" w:eastAsia="Helvetica Neue"/>
      <w:b w:val="0"/>
      <w:color w:val="000000"/>
      <w:sz w:val="18"/>
    </w:rPr>
  </w:style>
  <w:style w:type="paragraph" w:customStyle="1" w:styleId="CodeBlock">
    <w:name w:val="Code Block"/>
    <w:pPr>
      <w:spacing w:after="100"/>
      <w:ind w:left="288"/>
    </w:pPr>
    <w:rPr>
      <w:rFonts w:ascii="Consolas" w:hAnsi="Consolas" w:eastAsia="Consolas"/>
      <w:color w:val="000000"/>
      <w:sz w:val="17"/>
    </w:rPr>
  </w:style>
  <w:style w:type="paragraph" w:customStyle="1" w:styleId="ListBullet">
    <w:name w:val="List Bullet"/>
    <w:pPr>
      <w:spacing w:after="60"/>
      <w:ind w:left="346" w:hanging="173"/>
    </w:pPr>
    <w:rPr>
      <w:rFonts w:ascii="Helvetica Neue" w:hAnsi="Helvetica Neue" w:eastAsia="Helvetica Neue" w:cs="Helvetica Neue"/>
      <w:color w:val="111111"/>
      <w:sz w:val="19"/>
      <w:lang w:val="ru-RU" w:eastAsia="ru-RU"/>
    </w:rPr>
  </w:style>
  <w:style w:type="paragraph" w:customStyle="1" w:styleId="ListNumber">
    <w:name w:val="List Number"/>
    <w:pPr>
      <w:spacing w:after="60"/>
      <w:ind w:left="346" w:hanging="173"/>
    </w:pPr>
    <w:rPr>
      <w:rFonts w:ascii="Helvetica Neue" w:hAnsi="Helvetica Neue" w:eastAsia="Helvetica Neue" w:cs="Helvetica Neue"/>
      <w:color w:val="111111"/>
      <w:sz w:val="19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1658</Words>
  <Characters>9454</Characters>
  <Application>Microsoft Office Word</Application>
  <DocSecurity>0</DocSecurity>
  <Lines>78</Lines>
  <Paragraphs>22</Paragraphs>
  <ScaleCrop>false</ScaleCrop>
  <Company/>
  <LinksUpToDate>false</LinksUpToDate>
  <CharactersWithSpaces>11090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STD-001 World Engine Glossary RU v1.0</dc:title>
  <dc:subject>Единое значение терминов для документов, contracts, code, tests и operations</dc:subject>
  <dc:creator>World Engine / Andrii Drahulskyi</dc:creator>
  <cp:keywords>World Engine, glossary, vocabulary, terminology, translation, status</cp:keywords>
  <dc:description>Built from the current World Engine governance reference and bilingual normative sources.</dc:description>
  <dc:language>ru-RU</dc:language>
</cp:coreProperties>
</file>