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 w:eastAsia="Arial"/>
          <w:b/>
          <w:color w:val="000000"/>
          <w:sz w:val="40"/>
        </w:rPr>
        <w:t>Потоки данных</w:t>
      </w:r>
    </w:p>
    <w:p>
      <w:pPr>
        <w:spacing w:after="40"/>
        <w:jc w:val="center"/>
      </w:pPr>
      <w:r>
        <w:rPr>
          <w:rFonts w:ascii="Arial" w:hAnsi="Arial" w:eastAsia="Arial"/>
          <w:i/>
          <w:color w:val="000000"/>
          <w:sz w:val="21"/>
        </w:rPr>
        <w:t>World Engine — Data Flow Architecture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000000"/>
          <w:sz w:val="23"/>
        </w:rPr>
        <w:t>World Engine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173"/>
        <w:gridCol w:w="5763"/>
      </w:tblGrid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Проект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World Engine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Документ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Потоки данных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ID документа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ARCH-003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Версия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v1.4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Статус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Architecture Audited Complete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Дата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2026-09-02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Автор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Andrii Drahulskyi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1. Назначение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Документ описывает канонические data flows и отличает движение данных от ownership, runtime call, event relation и static dependency.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2. Легенда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577"/>
        <w:gridCol w:w="6359"/>
      </w:tblGrid>
      <w:tr>
        <w:trPr>
          <w:cantSplit w:val="true"/>
          <w:tblHeader w:val="true"/>
        </w:trPr>
        <w:tc>
          <w:tcPr>
            <w:tcW w:type="dxa" w:w="357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Обозначение</w:t>
            </w:r>
          </w:p>
        </w:tc>
        <w:tc>
          <w:tcPr>
            <w:tcW w:type="dxa" w:w="635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Интерпретация</w:t>
            </w:r>
          </w:p>
        </w:tc>
      </w:tr>
      <w:tr>
        <w:trPr>
          <w:cantSplit w:val="true"/>
        </w:trPr>
        <w:tc>
          <w:tcPr>
            <w:tcW w:type="dxa" w:w="357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 -&gt; B [runtime]</w:t>
            </w:r>
          </w:p>
        </w:tc>
        <w:tc>
          <w:tcPr>
            <w:tcW w:type="dxa" w:w="635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Синхронный/асинхронный вызов во время исполнения.</w:t>
            </w:r>
          </w:p>
        </w:tc>
      </w:tr>
      <w:tr>
        <w:trPr>
          <w:cantSplit w:val="true"/>
        </w:trPr>
        <w:tc>
          <w:tcPr>
            <w:tcW w:type="dxa" w:w="357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 =&gt; Event Engine =&gt; B</w:t>
            </w:r>
          </w:p>
        </w:tc>
        <w:tc>
          <w:tcPr>
            <w:tcW w:type="dxa" w:w="635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Event relation; producer/subscriber не образуют прямой implementation edge.</w:t>
            </w:r>
          </w:p>
        </w:tc>
      </w:tr>
      <w:tr>
        <w:trPr>
          <w:cantSplit w:val="true"/>
        </w:trPr>
        <w:tc>
          <w:tcPr>
            <w:tcW w:type="dxa" w:w="357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 ~~&gt; B [data]</w:t>
            </w:r>
          </w:p>
        </w:tc>
        <w:tc>
          <w:tcPr>
            <w:tcW w:type="dxa" w:w="635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Передача данных/evidence без передачи ownership.</w:t>
            </w:r>
          </w:p>
        </w:tc>
      </w:tr>
      <w:tr>
        <w:trPr>
          <w:cantSplit w:val="true"/>
        </w:trPr>
        <w:tc>
          <w:tcPr>
            <w:tcW w:type="dxa" w:w="357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 -&gt; Port &lt;- B [static]</w:t>
            </w:r>
          </w:p>
        </w:tc>
        <w:tc>
          <w:tcPr>
            <w:tcW w:type="dxa" w:w="635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Обе стороны зависят от abstraction/contract.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3. Game ingress и output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6"/>
        </w:rPr>
        <w:t>Game Runtime ~~&gt; Game Adapter -&gt; Game Ingress Port -&gt; Core/Application</w:t>
      </w:r>
      <w:r>
        <w:br/>
      </w:r>
      <w:r>
        <w:rPr>
          <w:rFonts w:ascii="Consolas" w:hAnsi="Consolas" w:eastAsia="Consolas"/>
          <w:color w:val="000000"/>
          <w:sz w:val="16"/>
        </w:rPr>
        <w:t>Core/Application -&gt; Game Output/Capability Port &lt;- Game Adapter ~~&gt; Game Runtime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Game Adapter валидирует и нормализует game-specific вход.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Domain modules не получают SDK types.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Outbound action проходит capability/policy checks.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4. Диалоговый workflow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6"/>
        </w:rPr>
        <w:t>Game Ingress -&gt; Core -&gt; Dialogue Use-Case Port &lt;- Dialogue</w:t>
      </w:r>
      <w:r>
        <w:br/>
      </w:r>
      <w:r>
        <w:rPr>
          <w:rFonts w:ascii="Consolas" w:hAnsi="Consolas" w:eastAsia="Consolas"/>
          <w:color w:val="000000"/>
          <w:sz w:val="16"/>
        </w:rPr>
        <w:t>Dialogue -&gt; AI Adapter -&gt; Context Manager -&gt; Provider Abstraction -&gt; Provider</w:t>
      </w:r>
      <w:r>
        <w:br/>
      </w:r>
      <w:r>
        <w:rPr>
          <w:rFonts w:ascii="Consolas" w:hAnsi="Consolas" w:eastAsia="Consolas"/>
          <w:color w:val="000000"/>
          <w:sz w:val="16"/>
        </w:rPr>
        <w:t>Context Manager -&gt; Memory Read / Context Source Port &lt;- Memory</w:t>
      </w:r>
      <w:r>
        <w:br/>
      </w:r>
      <w:r>
        <w:rPr>
          <w:rFonts w:ascii="Consolas" w:hAnsi="Consolas" w:eastAsia="Consolas"/>
          <w:color w:val="000000"/>
          <w:sz w:val="16"/>
        </w:rPr>
        <w:t>Dialogue -&gt; Speech Output Port &lt;- Voice</w:t>
      </w:r>
      <w:r>
        <w:br/>
      </w:r>
      <w:r>
        <w:rPr>
          <w:rFonts w:ascii="Consolas" w:hAnsi="Consolas" w:eastAsia="Consolas"/>
          <w:color w:val="000000"/>
          <w:sz w:val="16"/>
        </w:rPr>
        <w:t>Dialogue result -&gt; Core -&gt; Game Output Port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Немедленный результат использует narrow synchronous ports; Event Engine не является RPC fallback.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5. Domain events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Owner изменяет своё состояние и только после commit публикует semantic event.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Subscribers получают событие через Event Engine и валидируют generation/correlation.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Event history использует отдельный persistence contract при включённой durability.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6. Scheduled autosave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6"/>
        </w:rPr>
        <w:t>Scheduler =&gt; Event Engine : AutosaveDue</w:t>
      </w:r>
      <w:r>
        <w:br/>
      </w:r>
      <w:r>
        <w:rPr>
          <w:rFonts w:ascii="Consolas" w:hAnsi="Consolas" w:eastAsia="Consolas"/>
          <w:color w:val="000000"/>
          <w:sz w:val="16"/>
        </w:rPr>
        <w:t>Event Engine =&gt; Save Manager subscriber</w:t>
      </w:r>
      <w:r>
        <w:br/>
      </w:r>
      <w:r>
        <w:rPr>
          <w:rFonts w:ascii="Consolas" w:hAnsi="Consolas" w:eastAsia="Consolas"/>
          <w:color w:val="000000"/>
          <w:sz w:val="16"/>
        </w:rPr>
        <w:t>Save Manager -&gt; SaveParticipant abstractions &lt;- State owners</w:t>
      </w:r>
      <w:r>
        <w:br/>
      </w:r>
      <w:r>
        <w:rPr>
          <w:rFonts w:ascii="Consolas" w:hAnsi="Consolas" w:eastAsia="Consolas"/>
          <w:color w:val="000000"/>
          <w:sz w:val="16"/>
        </w:rPr>
        <w:t>Save Manager -&gt; Save Artifact Repository -&gt; Database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Нет путей Scheduler -&gt; Core -&gt; Save Manager и Scheduler -&gt; Save Manager.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7. Manual Save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6"/>
        </w:rPr>
        <w:t>Application/Core -&gt; Save Manager Save Command</w:t>
      </w:r>
      <w:r>
        <w:br/>
      </w:r>
      <w:r>
        <w:rPr>
          <w:rFonts w:ascii="Consolas" w:hAnsi="Consolas" w:eastAsia="Consolas"/>
          <w:color w:val="000000"/>
          <w:sz w:val="16"/>
        </w:rPr>
        <w:t>Save Manager -&gt; stage snapshots from ALL SaveParticipants</w:t>
      </w:r>
      <w:r>
        <w:br/>
      </w:r>
      <w:r>
        <w:rPr>
          <w:rFonts w:ascii="Consolas" w:hAnsi="Consolas" w:eastAsia="Consolas"/>
          <w:color w:val="000000"/>
          <w:sz w:val="16"/>
        </w:rPr>
        <w:t>Save Manager -&gt; validate -&gt; persist candidate -&gt; atomic promote</w:t>
      </w:r>
      <w:r>
        <w:br/>
      </w:r>
      <w:r>
        <w:rPr>
          <w:rFonts w:ascii="Consolas" w:hAnsi="Consolas" w:eastAsia="Consolas"/>
          <w:color w:val="000000"/>
          <w:sz w:val="16"/>
        </w:rPr>
        <w:t>Save Manager -&gt; typed Save outcome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Committed Save — authoritative persisted/restorable checkpoint, но не обязательно newest live state.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8. Load и atomic restore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6"/>
        </w:rPr>
        <w:t>Load Command -&gt; Save Manager</w:t>
      </w:r>
      <w:r>
        <w:br/>
      </w:r>
      <w:r>
        <w:rPr>
          <w:rFonts w:ascii="Consolas" w:hAnsi="Consolas" w:eastAsia="Consolas"/>
          <w:color w:val="000000"/>
          <w:sz w:val="16"/>
        </w:rPr>
        <w:t>validate artifact -&gt; deserialize NON-LIVE candidate -&gt; stage ALL participants</w:t>
      </w:r>
      <w:r>
        <w:br/>
      </w:r>
      <w:r>
        <w:rPr>
          <w:rFonts w:ascii="Consolas" w:hAnsi="Consolas" w:eastAsia="Consolas"/>
          <w:color w:val="000000"/>
          <w:sz w:val="16"/>
        </w:rPr>
        <w:t>cross-validate -&gt; Host/Activation Gate -&gt; atomic logical activation</w:t>
      </w:r>
      <w:r>
        <w:br/>
      </w:r>
      <w:r>
        <w:rPr>
          <w:rFonts w:ascii="Consolas" w:hAnsi="Consolas" w:eastAsia="Consolas"/>
          <w:color w:val="000000"/>
          <w:sz w:val="16"/>
        </w:rPr>
        <w:t>typed outcome -&gt; Core/Application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Core не вызывает StageRestore/CommitActivation/AbortActivation/RollbackActivation.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Partial restore никогда не сообщается как success.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State owners применяют только своё staged state.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9. Configuration и readiness evidence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6"/>
        </w:rPr>
        <w:t>Configuration subsystem -&gt; validated effective config ~~&gt; Host</w:t>
      </w:r>
      <w:r>
        <w:br/>
      </w:r>
      <w:r>
        <w:rPr>
          <w:rFonts w:ascii="Consolas" w:hAnsi="Consolas" w:eastAsia="Consolas"/>
          <w:color w:val="000000"/>
          <w:sz w:val="16"/>
        </w:rPr>
        <w:t>Host ~~&gt; typed immutable views ~~&gt; components</w:t>
      </w:r>
      <w:r>
        <w:br/>
      </w:r>
      <w:r>
        <w:rPr>
          <w:rFonts w:ascii="Consolas" w:hAnsi="Consolas" w:eastAsia="Consolas"/>
          <w:color w:val="000000"/>
          <w:sz w:val="16"/>
        </w:rPr>
        <w:t>Components ~~&gt; readiness evidence ~~&gt; Host</w:t>
      </w:r>
      <w:r>
        <w:br/>
      </w:r>
      <w:r>
        <w:rPr>
          <w:rFonts w:ascii="Consolas" w:hAnsi="Consolas" w:eastAsia="Consolas"/>
          <w:color w:val="000000"/>
          <w:sz w:val="16"/>
        </w:rPr>
        <w:t>Host -&gt; Application Ready/Degraded/Failed/RecoveryRequired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Core не является config gateway и не агрегирует application outcome.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10. Plugin evidence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6"/>
        </w:rPr>
        <w:t>Plugin Detection -&gt; normalized Plugin Profile/fingerprint evidence</w:t>
      </w:r>
      <w:r>
        <w:br/>
      </w:r>
      <w:r>
        <w:rPr>
          <w:rFonts w:ascii="Consolas" w:hAnsi="Consolas" w:eastAsia="Consolas"/>
          <w:color w:val="000000"/>
          <w:sz w:val="16"/>
        </w:rPr>
        <w:t>Game Adapter -&gt; capability mapping</w:t>
      </w:r>
      <w:r>
        <w:br/>
      </w:r>
      <w:r>
        <w:rPr>
          <w:rFonts w:ascii="Consolas" w:hAnsi="Consolas" w:eastAsia="Consolas"/>
          <w:color w:val="000000"/>
          <w:sz w:val="16"/>
        </w:rPr>
        <w:t>Save Manager -&gt; restore compatibility decision</w:t>
      </w:r>
      <w:r>
        <w:br/>
      </w:r>
      <w:r>
        <w:rPr>
          <w:rFonts w:ascii="Consolas" w:hAnsi="Consolas" w:eastAsia="Consolas"/>
          <w:color w:val="000000"/>
          <w:sz w:val="16"/>
        </w:rPr>
        <w:t>Host -&gt; lifecycle wiring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Discovery truth не передаёт владельцу detection права на capability или compatibility policy.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11. Failure, cancellation и backpressure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981"/>
        <w:gridCol w:w="6955"/>
      </w:tblGrid>
      <w:tr>
        <w:trPr>
          <w:cantSplit w:val="true"/>
          <w:tblHeader w:val="true"/>
        </w:trPr>
        <w:tc>
          <w:tcPr>
            <w:tcW w:type="dxa" w:w="298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Ситуация</w:t>
            </w:r>
          </w:p>
        </w:tc>
        <w:tc>
          <w:tcPr>
            <w:tcW w:type="dxa" w:w="695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Поток</w:t>
            </w:r>
          </w:p>
        </w:tc>
      </w:tr>
      <w:tr>
        <w:trPr>
          <w:cantSplit w:val="true"/>
        </w:trPr>
        <w:tc>
          <w:tcPr>
            <w:tcW w:type="dxa" w:w="298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Timeout/cancellation</w:t>
            </w:r>
          </w:p>
        </w:tc>
        <w:tc>
          <w:tcPr>
            <w:tcW w:type="dxa" w:w="695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Typed failure + correlation/deadline; late result discarded.</w:t>
            </w:r>
          </w:p>
        </w:tc>
      </w:tr>
      <w:tr>
        <w:trPr>
          <w:cantSplit w:val="true"/>
        </w:trPr>
        <w:tc>
          <w:tcPr>
            <w:tcW w:type="dxa" w:w="298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AI unavailable</w:t>
            </w:r>
          </w:p>
        </w:tc>
        <w:tc>
          <w:tcPr>
            <w:tcW w:type="dxa" w:w="695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Approved consumer fallback; no authority transfer.</w:t>
            </w:r>
          </w:p>
        </w:tc>
      </w:tr>
      <w:tr>
        <w:trPr>
          <w:cantSplit w:val="true"/>
        </w:trPr>
        <w:tc>
          <w:tcPr>
            <w:tcW w:type="dxa" w:w="298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Queue pressure</w:t>
            </w:r>
          </w:p>
        </w:tc>
        <w:tc>
          <w:tcPr>
            <w:tcW w:type="dxa" w:w="695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Bounded reject/defer; no hidden unbounded growth.</w:t>
            </w:r>
          </w:p>
        </w:tc>
      </w:tr>
      <w:tr>
        <w:trPr>
          <w:cantSplit w:val="true"/>
        </w:trPr>
        <w:tc>
          <w:tcPr>
            <w:tcW w:type="dxa" w:w="298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Stale evidence</w:t>
            </w:r>
          </w:p>
        </w:tc>
        <w:tc>
          <w:tcPr>
            <w:tcW w:type="dxa" w:w="695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Generation/freshness check before decision.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12. Классификация данных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Domain state остаётся у state owner.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Evidence является versioned/freshness-scoped и не становится domain truth.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Secrets не попадают в events, logs или diagnostics labels.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13. Conformance IDs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788"/>
        <w:gridCol w:w="8148"/>
      </w:tblGrid>
      <w:tr>
        <w:trPr>
          <w:cantSplit w:val="true"/>
          <w:tblHeader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ID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Проверка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DF-001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Ingress/output только через ports.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DF-002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Autosave event path не проходит через Core.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DF-003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Restore activation атомарна.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DF-004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AI и Plugin evidence не получают authority.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DF-005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Все стрелки имеют явную семантику.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14. История изменений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590"/>
        <w:gridCol w:w="2186"/>
        <w:gridCol w:w="6160"/>
      </w:tblGrid>
      <w:tr>
        <w:trPr>
          <w:cantSplit w:val="true"/>
          <w:tblHeader w:val="true"/>
        </w:trPr>
        <w:tc>
          <w:tcPr>
            <w:tcW w:type="dxa" w:w="159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Версия</w:t>
            </w:r>
          </w:p>
        </w:tc>
        <w:tc>
          <w:tcPr>
            <w:tcW w:type="dxa" w:w="218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Дата</w:t>
            </w:r>
          </w:p>
        </w:tc>
        <w:tc>
          <w:tcPr>
            <w:tcW w:type="dxa" w:w="616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Изменения</w:t>
            </w:r>
          </w:p>
        </w:tc>
      </w:tr>
      <w:tr>
        <w:trPr>
          <w:cantSplit w:val="true"/>
        </w:trPr>
        <w:tc>
          <w:tcPr>
            <w:tcW w:type="dxa" w:w="159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v1.4</w:t>
            </w:r>
          </w:p>
        </w:tc>
        <w:tc>
          <w:tcPr>
            <w:tcW w:type="dxa" w:w="218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2026-09-02</w:t>
            </w:r>
          </w:p>
        </w:tc>
        <w:tc>
          <w:tcPr>
            <w:tcW w:type="dxa" w:w="616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Полная регенерация по AUDIT-008–010; downstream-проверки AUDIT-014/015/018/021 учтены.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50" w:line="240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3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4"/>
      <w:ind w:left="346" w:hanging="202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2" Type="http://schemas.openxmlformats.org/officeDocument/2006/relationships/numbering" Target="numbering.xml" /><ns0:Relationship Id="rId9" Type="http://schemas.openxmlformats.org/officeDocument/2006/relationships/header" Target="header1.xml" /><ns0:Relationship Id="rId10" Type="http://schemas.openxmlformats.org/officeDocument/2006/relationships/footer" Target="footer1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ARCH-003 Потоки данных v1.4 Architecture Audited Complete</dc:title>
  <dc:subject>World Engine architecture foundation</dc:subject>
  <dc:creator>Andrii Drahulskyi</dc:creator>
  <cp:keywords>World Engine, ARCH-003, architecture audit, v1.4, RU</cp:keywords>
  <dc:description>Regenerated from AUDIT-008/009/010 with downstream consistency gates applied.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