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ADR-005 — Save System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Amendment v1.2 · Authoritative Checkpoint und atomare Restore-Aktivierung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Sprache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v1.2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Datum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Übergeordnete Entscheidung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ADR-005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Geltungsbereich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Ziel-Release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Zweck</w:t>
      </w:r>
    </w:p>
    <w:p>
      <w:pPr>
        <w:keepLines/>
      </w:pPr>
      <w:r>
        <w:rPr>
          <w:rFonts w:ascii="Arial" w:hAnsi="Arial" w:eastAsia="Arial"/>
          <w:sz w:val="19"/>
        </w:rPr>
        <w:t>Dieses Amendment bewahrt ADR-005 mit Save Manager als verbindlichem Save-/Restore-Koordinator und ersetzt die zu schwache v1.1-Auslegung durch ein explizites All-or-Nothing-Aktivierungsmodell.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Entscheidung</w:t>
      </w:r>
    </w:p>
    <w:p>
      <w:pPr>
        <w:keepLines/>
      </w:pPr>
      <w:r>
        <w:rPr>
          <w:rFonts w:ascii="Arial" w:hAnsi="Arial" w:eastAsia="Arial"/>
          <w:sz w:val="19"/>
        </w:rPr>
        <w:t>Save Manager besitzt Save Contract, Artifact Lifecycle, Validation, Promotion, Restore und Recovery Semantics. Ein persistierter Save wird erst nach erfolgreicher Prüfung und atomarer Promotion zum bekannten guten Checkpoint.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Trigger- und Ownership-Regeln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Manuelles/Application Save und Load treten über einen expliziten Application/Core-Command-/Use-Case-Port ein; Core erhält ein Typed Result und besitzt keinen Participant-Level Restore.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Scheduled Autosave nutzt Scheduler → Event Engine: AutosaveDue → Save Manager Subscriber; eine direkte Scheduler→Save-Manager-Implementierungsabhängigkeit ist verboten.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Adapter liefert Safe-Point-/Restorable-State-Evidence, besitzt jedoch weder Save Cadence noch Checkpoint Promotion oder Restore Policy.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SaveParticipants werden Save Manager über explizites Composition-/Registration-Wiring übergeben; Concrete-Module Discovery und Service Locator sind verboten.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ADR-005 · Save System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Normatives Save-/Restore-Protokoll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Save: Snapshot aller erforderlichen Participants sammeln → Invariants prüfen → Candidate über Repository schreiben → Durability/Restorability prüfen → atomar zum Known-Good Checkpoint promoten.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Ein fehlgeschlagener oder unvollständiger Candidate ersetzt den letzten Known-Good Checkpoint nicht und publiziert kein SaveCommitted.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Restore: Artifact lesen/prüfen → in NON-LIVE Candidate deserialisieren → StageRestore aller erforderlichen Participants → Cross-Participant Validation.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Erst nach erfolgreichem Staging/Validation sind ATOMIC LOGICAL ACTIVATION BARRIER und CommitActivation unter einem Restore Operation Context zulässig.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Fehler eines erforderlichen Participant verlangt AbortActivation/RollbackActivation oder kontrolliertes RecoveryRequired; partieller State darf nicht als Load Success gelten.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PostActivationValidate endet vor LoadCompleted und Normal Application Resume; bis zur erfolgreichen Activation bleibt der frühere Live State autoritativ.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Authoritative Checkpoint</w:t>
      </w:r>
    </w:p>
    <w:p>
      <w:pPr>
        <w:keepLines/>
      </w:pPr>
      <w:r>
        <w:rPr>
          <w:rFonts w:ascii="Arial" w:hAnsi="Arial" w:eastAsia="Arial"/>
          <w:sz w:val="19"/>
        </w:rPr>
        <w:t>Ein Committed Save ist ein autoritativer persistierter/wiederherstellbarer Checkpoint. Er muss nicht dem neuesten Live Runtime State nach späteren Änderungen entsprechen.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Ownership</w:t>
      </w:r>
    </w:p>
    <w:p>
      <w:pPr>
        <w:keepLines/>
      </w:pPr>
      <w:r>
        <w:rPr>
          <w:rFonts w:ascii="Arial" w:hAnsi="Arial" w:eastAsia="Arial"/>
          <w:sz w:val="19"/>
        </w:rPr>
        <w:t>Save Manager besitzt Orchestration; Participants besitzen die Semantik ihres State; Repository besitzt physische Persistence; Host/Composition Root besitzt Application Pause/Resume und das Wiring der Activation Barrier.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Folgen und Konformität</w:t>
      </w:r>
    </w:p>
    <w:p>
      <w:pPr>
        <w:keepLines/>
      </w:pPr>
      <w:r>
        <w:rPr>
          <w:rFonts w:ascii="Arial" w:hAnsi="Arial" w:eastAsia="Arial"/>
          <w:sz w:val="19"/>
        </w:rPr>
        <w:t>Die Architektur fixiert beobachtbares All-or-Nothing-Verhalten; die Implementierung darf Shadow State, Atomic Swap, Reversible Apply, Transaction-Like Barrier oder einen gleichwertigen geprüften Mechanismus verwenden.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Historischer Status</w:t>
      </w:r>
    </w:p>
    <w:p>
      <w:pPr>
        <w:keepLines/>
      </w:pPr>
      <w:r>
        <w:rPr>
          <w:rFonts w:ascii="Arial" w:hAnsi="Arial" w:eastAsia="Arial"/>
          <w:sz w:val="19"/>
        </w:rPr>
        <w:t>Das ursprüngliche ADR-005 v1.0 bleibt eine historische Aufzeichnung. Dieses v1.2 Amendment ersetzt das nicht verfügbare transiente v1.1 Amendment und definiert die geprüfte Version-1.x-Auslegung.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8. Traceability</w:t>
      </w:r>
    </w:p>
    <w:p>
      <w:pPr>
        <w:keepLines/>
      </w:pPr>
      <w:r>
        <w:rPr>
          <w:rFonts w:ascii="Arial" w:hAnsi="Arial" w:eastAsia="Arial"/>
          <w:sz w:val="19"/>
        </w:rPr>
        <w:t>AUDIT-013; ARCH-007 v4 SD-004/005/006; ARCH-011 v1.1; ADR-008; MOD-001 v1.2. Die konkrete atomare Mechanik wird auf MOD-013/Implementation ADR verschoben.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9.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 after detection of truncated repository DOCX package; atomic restore semantics preserved.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ADR-005 — Save System — Amendment v1.2 (DE)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