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00"/>
        <w:jc w:val="center"/>
      </w:pPr>
      <w:r>
        <w:rPr>
          <w:rFonts w:ascii="Arial" w:hAnsi="Arial"/>
          <w:b/>
          <w:color w:val="17324D"/>
          <w:sz w:val="18"/>
        </w:rPr>
        <w:t>ARCHITECTURE DECISION RECORD</w:t>
      </w:r>
    </w:p>
    <w:p>
      <w:pPr>
        <w:pStyle w:val="Title"/>
        <w:widowControl/>
      </w:pPr>
      <w:r>
        <w:t>ADR 004 Lokale künstliche Intelligenz</w:t>
      </w:r>
    </w:p>
    <w:p>
      <w:pPr>
        <w:pStyle w:val="Subtitle"/>
        <w:widowControl/>
      </w:pPr>
      <w:r>
        <w:t>World Engine Architekturentscheidung</w:t>
      </w:r>
    </w:p>
    <w:p>
      <w:pPr>
        <w:pStyle w:val="Heading2"/>
        <w:keepNext/>
        <w:widowControl/>
      </w:pPr>
      <w:r>
        <w:t>Entscheidung im Überblick</w:t>
      </w:r>
    </w:p>
    <w:p>
      <w:pPr>
        <w:widowControl/>
        <w:spacing w:after="160"/>
      </w:pPr>
      <w:r>
        <w:t>AI ist eine austauschbare nicht autoritative Capability hinter AI Adapter. Der kanonische Pfad führt vom Approved Consumer über AI Adapter und Context Manager zur Provider Abstraction. Der Host steuert den Provider Prozess und bestimmt die Anwendungsbereitschaft.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Field</w:t>
            </w:r>
          </w:p>
        </w:tc>
        <w:tc>
          <w:tcPr>
            <w:tcW w:type="dxa" w:w="7272"/>
            <w:vAlign w:val="center"/>
            <w:tcMar>
              <w:top w:w="90" w:type="dxa"/>
              <w:start w:w="110" w:type="dxa"/>
              <w:bottom w:w="90" w:type="dxa"/>
              <w:end w:w="110" w:type="dxa"/>
            </w:tcMar>
            <w:shd w:fill="17324D"/>
          </w:tcPr>
          <w:p>
            <w:pPr>
              <w:spacing w:after="0" w:line="240" w:lineRule="auto"/>
            </w:pPr>
            <w:r>
              <w:rPr>
                <w:rFonts w:ascii="Arial" w:hAnsi="Arial"/>
                <w:b/>
                <w:color w:val="FFFFFF"/>
                <w:sz w:val="16"/>
              </w:rPr>
              <w:t>Value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Dokument</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ADR-004</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Version</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Status</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Accepted — Architecture Audited</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Sprache</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DE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Geltungsbereich</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World Engine Version 1.x</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Datum</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Autor</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Andrii Drahulskyi</w:t>
            </w:r>
          </w:p>
        </w:tc>
      </w:tr>
    </w:tbl>
    <w:p>
      <w:pPr>
        <w:widowControl/>
        <w:spacing w:after="40"/>
      </w:pPr>
    </w:p>
    <w:p>
      <w:pPr>
        <w:pStyle w:val="Heading2"/>
        <w:keepNext/>
        <w:widowControl/>
      </w:pPr>
      <w:r>
        <w:t>Inhalt</w:t>
      </w:r>
    </w:p>
    <w:p>
      <w:pPr>
        <w:pStyle w:val="ListBullet"/>
        <w:keepLines/>
        <w:widowControl/>
      </w:pPr>
      <w:r>
        <w:t>1 Kontext und Problem</w:t>
      </w:r>
    </w:p>
    <w:p>
      <w:pPr>
        <w:pStyle w:val="ListBullet"/>
        <w:keepLines/>
        <w:widowControl/>
      </w:pPr>
      <w:r>
        <w:t>2 Entscheidung</w:t>
      </w:r>
    </w:p>
    <w:p>
      <w:pPr>
        <w:pStyle w:val="ListBullet"/>
        <w:keepLines/>
        <w:widowControl/>
      </w:pPr>
      <w:r>
        <w:t>3 Umfang, Verantwortung und Grenzen</w:t>
      </w:r>
    </w:p>
    <w:p>
      <w:pPr>
        <w:pStyle w:val="ListBullet"/>
        <w:keepLines/>
        <w:widowControl/>
      </w:pPr>
      <w:r>
        <w:t>4 Verträge und Laufzeitabläufe</w:t>
      </w:r>
    </w:p>
    <w:p>
      <w:pPr>
        <w:pStyle w:val="ListBullet"/>
        <w:keepLines/>
        <w:widowControl/>
      </w:pPr>
      <w:r>
        <w:t>5 Lebenszyklus, Fehler und Wiederherstellung</w:t>
      </w:r>
    </w:p>
    <w:p>
      <w:pPr>
        <w:pStyle w:val="ListBullet"/>
        <w:keepLines/>
        <w:widowControl/>
      </w:pPr>
      <w:r>
        <w:t>6 Sicherheit, Daten und Architekturregeln</w:t>
      </w:r>
    </w:p>
    <w:p>
      <w:pPr>
        <w:pStyle w:val="ListBullet"/>
        <w:keepLines/>
        <w:widowControl/>
      </w:pPr>
      <w:r>
        <w:t>7 Alternativen und Abwägungen</w:t>
      </w:r>
    </w:p>
    <w:p>
      <w:pPr>
        <w:pStyle w:val="ListBullet"/>
        <w:keepLines/>
        <w:widowControl/>
      </w:pPr>
      <w:r>
        <w:t>8 Umsetzung und Prüfung</w:t>
      </w:r>
    </w:p>
    <w:p>
      <w:pPr>
        <w:pStyle w:val="ListBullet"/>
        <w:keepLines/>
        <w:widowControl/>
      </w:pPr>
      <w:r>
        <w:t>9 Nachverfolgbarkeit und Änderungshistorie</w:t>
      </w:r>
    </w:p>
    <w:p>
      <w:pPr>
        <w:widowControl/>
      </w:pPr>
      <w:r>
        <w:br w:type="page"/>
      </w:r>
    </w:p>
    <w:p>
      <w:pPr>
        <w:pStyle w:val="Heading1"/>
        <w:keepNext/>
        <w:widowControl/>
      </w:pPr>
      <w:r>
        <w:t>1 Kontext und Problem</w:t>
      </w:r>
    </w:p>
    <w:p>
      <w:pPr>
        <w:widowControl/>
      </w:pPr>
      <w:r>
        <w:t>World Engine verwendet AI für Dialog und weitere ausdrücklich freigegebene Anwendungsfälle. Local AI soll ohne verpflichtende externe Netzwerkverbindung arbeiten und über einen gemeinsamen Vertrag durch einen externen Provider ersetzbar bleiben.</w:t>
      </w:r>
    </w:p>
    <w:p>
      <w:pPr>
        <w:widowControl/>
      </w:pPr>
      <w:r>
        <w:t>Die frühere Fassung erlaubte Core zugleich als Generic Consumer und zeigte Context Manager vor AI Adapter. Außerdem trennte sie den Consumer Request Path nicht vom Lifecycle des Provider Prozesses.</w:t>
      </w:r>
    </w:p>
    <w:p>
      <w:pPr>
        <w:pStyle w:val="Heading2"/>
        <w:keepNext/>
        <w:widowControl/>
      </w:pPr>
      <w:r>
        <w:t>Außerhalb des Entscheidungsumfangs</w:t>
      </w:r>
    </w:p>
    <w:p>
      <w:pPr>
        <w:pStyle w:val="ListBullet"/>
        <w:keepLines/>
        <w:widowControl/>
      </w:pPr>
      <w:r>
        <w:t>Autoritative Entscheidungen über die Welt</w:t>
      </w:r>
    </w:p>
    <w:p>
      <w:pPr>
        <w:pStyle w:val="ListBullet"/>
        <w:keepLines/>
        <w:widowControl/>
      </w:pPr>
      <w:r>
        <w:t>Direkte Game Actions</w:t>
      </w:r>
    </w:p>
    <w:p>
      <w:pPr>
        <w:pStyle w:val="ListBullet"/>
        <w:keepLines/>
        <w:widowControl/>
      </w:pPr>
      <w:r>
        <w:t>Direkter Save oder SQLite Zugriff</w:t>
      </w:r>
    </w:p>
    <w:p>
      <w:pPr>
        <w:pStyle w:val="ListBullet"/>
        <w:keepLines/>
        <w:widowControl/>
      </w:pPr>
      <w:r>
        <w:t>Auswahl eines konkreten Modells ohne eigene Policy</w:t>
      </w:r>
    </w:p>
    <w:p>
      <w:pPr>
        <w:pStyle w:val="Heading1"/>
        <w:keepNext/>
        <w:widowControl/>
      </w:pPr>
      <w:r>
        <w:t>2 Entscheidung</w:t>
      </w:r>
    </w:p>
    <w:p>
      <w:pPr>
        <w:widowControl/>
      </w:pPr>
      <w:r>
        <w:t>Der Consumer Facing Entry Point ist immer AI Adapter oder ein schmaler AI Capability Port. AI Adapter führt Validation, Authorization, Timeout, Cancellation und Transport Normalization vor dem Context Manager aus.</w:t>
      </w:r>
    </w:p>
    <w:p>
      <w:pPr>
        <w:widowControl/>
      </w:pPr>
      <w:r>
        <w:t>Context Manager erzeugt minimierten freigegebenen Kontext. Provider Abstraction verbirgt Local AI und External LLM. Ein Ergebnis wird erst nach deterministischer Application oder Domain Validation wirksam.</w:t>
      </w:r>
    </w:p>
    <w:p>
      <w:pPr>
        <w:pStyle w:val="Heading2"/>
        <w:keepNext/>
        <w:widowControl/>
      </w:pPr>
      <w:r>
        <w:t>Verbindliche Regeln</w:t>
      </w:r>
    </w:p>
    <w:p>
      <w:pPr>
        <w:pStyle w:val="ListBullet"/>
        <w:keepLines/>
        <w:widowControl/>
      </w:pPr>
      <w:r>
        <w:t>Dialogue ist der primäre AI Consumer in v1.x.</w:t>
      </w:r>
    </w:p>
    <w:p>
      <w:pPr>
        <w:pStyle w:val="ListBullet"/>
        <w:keepLines/>
        <w:widowControl/>
      </w:pPr>
      <w:r>
        <w:t>Ein zusätzlicher Consumer benötigt einen expliziten Use Case Contract und eine Context Policy.</w:t>
      </w:r>
    </w:p>
    <w:p>
      <w:pPr>
        <w:pStyle w:val="ListBullet"/>
        <w:keepLines/>
        <w:widowControl/>
      </w:pPr>
      <w:r>
        <w:t>Core erhält Readiness oder Capability Evidence und ruft Provider nicht als generischen Service auf.</w:t>
      </w:r>
    </w:p>
    <w:p>
      <w:pPr>
        <w:pStyle w:val="ListBullet"/>
        <w:keepLines/>
        <w:widowControl/>
      </w:pPr>
      <w:r>
        <w:t>HTTP und ein fester Localhost Port sind nicht vorgeschrieben; freigegebene Loopback oder IPC Transports sind zulässig.</w:t>
      </w:r>
    </w:p>
    <w:p>
      <w:pPr>
        <w:pStyle w:val="ListBullet"/>
        <w:keepLines/>
        <w:widowControl/>
      </w:pPr>
      <w:r>
        <w:t>Fallback auf External LLM erfolgt nur gemäß Provider und Privacy Policy.</w:t>
      </w:r>
    </w:p>
    <w:p>
      <w:pPr>
        <w:pStyle w:val="Heading1"/>
        <w:keepNext/>
        <w:widowControl/>
      </w:pPr>
      <w:r>
        <w:t>3 Umfang, Verantwortung und Grenzen</w:t>
      </w:r>
    </w:p>
    <w:p>
      <w:pPr>
        <w:widowControl/>
      </w:pPr>
      <w:r>
        <w:t>Die Tabelle legt den Eigentümer jeder Aufgabe und die Semantik der Beziehung fest. Ownership wird nicht aus der Richtung eines Laufzeitaufrufs abgeleitet.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Komponente / Grenze</w:t>
            </w:r>
          </w:p>
        </w:tc>
        <w:tc>
          <w:tcPr>
            <w:tcW w:type="dxa" w:w="5472"/>
            <w:vAlign w:val="center"/>
            <w:tcMar>
              <w:top w:w="90" w:type="dxa"/>
              <w:start w:w="110" w:type="dxa"/>
              <w:bottom w:w="90" w:type="dxa"/>
              <w:end w:w="110" w:type="dxa"/>
            </w:tcMar>
            <w:shd w:fill="17324D"/>
          </w:tcPr>
          <w:p>
            <w:pPr>
              <w:spacing w:after="0" w:line="240" w:lineRule="auto"/>
            </w:pPr>
            <w:r>
              <w:rPr>
                <w:rFonts w:ascii="Arial" w:hAnsi="Arial"/>
                <w:b/>
                <w:color w:val="FFFFFF"/>
                <w:sz w:val="16"/>
              </w:rPr>
              <w:t>Verantwortung</w:t>
            </w:r>
          </w:p>
        </w:tc>
        <w:tc>
          <w:tcPr>
            <w:tcW w:type="dxa" w:w="1800"/>
            <w:vAlign w:val="center"/>
            <w:tcMar>
              <w:top w:w="90" w:type="dxa"/>
              <w:start w:w="110" w:type="dxa"/>
              <w:bottom w:w="90" w:type="dxa"/>
              <w:end w:w="110" w:type="dxa"/>
            </w:tcMar>
            <w:shd w:fill="17324D"/>
          </w:tcPr>
          <w:p>
            <w:pPr>
              <w:spacing w:after="0" w:line="240" w:lineRule="auto"/>
            </w:pPr>
            <w:r>
              <w:rPr>
                <w:rFonts w:ascii="Arial" w:hAnsi="Arial"/>
                <w:b/>
                <w:color w:val="FFFFFF"/>
                <w:sz w:val="16"/>
              </w:rPr>
              <w:t>Semantik</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Approved Consumer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Ziel des Anwendungsfalls und Annahme des Ergebnisses</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AI Adapter</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Security Boundary und Request Policy</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Context Manager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Context Selection und Minimization</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Provider Abstraction</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Provider Neutral Execution Contract</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Contract 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Provider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Model Runtime und Health Evidence</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Host</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Start, Restart, Readiness und Stop des Prozesses</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Lifecycle Wiring</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Domain Owner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Deterministische Validation und Commit</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Authority</w:t>
            </w:r>
          </w:p>
        </w:tc>
      </w:tr>
    </w:tbl>
    <w:p>
      <w:pPr>
        <w:widowControl/>
        <w:spacing w:after="40"/>
      </w:pPr>
    </w:p>
    <w:p>
      <w:pPr>
        <w:pStyle w:val="Heading1"/>
        <w:keepNext/>
        <w:widowControl/>
      </w:pPr>
      <w:r>
        <w:t>4 Verträge und Laufzeitabläufe</w:t>
      </w:r>
    </w:p>
    <w:p>
      <w:pPr>
        <w:widowControl/>
      </w:pPr>
      <w:r>
        <w:t>Jeder Ablauf benennt die Art der Beziehung und erzeugt keine zusätzlichen versteckten Abhängigkeiten.</w:t>
      </w:r>
    </w:p>
    <w:p>
      <w:pPr>
        <w:pStyle w:val="CodePath"/>
        <w:widowControl/>
      </w:pPr>
      <w:r>
        <w:t>Laufzeitaufruf: Approved Consumer zu AI Adapter oder AI Capability Port.</w:t>
      </w:r>
    </w:p>
    <w:p>
      <w:pPr>
        <w:pStyle w:val="CodePath"/>
        <w:widowControl/>
      </w:pPr>
      <w:r>
        <w:t>Validierter Data Flow: AI Adapter zu Context Manager mit freigegebener Context Request.</w:t>
      </w:r>
    </w:p>
    <w:p>
      <w:pPr>
        <w:pStyle w:val="CodePath"/>
        <w:widowControl/>
      </w:pPr>
      <w:r>
        <w:t>Laufzeitaufruf: Context Manager zu Provider Abstraction zum konfigurierten Provider.</w:t>
      </w:r>
    </w:p>
    <w:p>
      <w:pPr>
        <w:pStyle w:val="CodePath"/>
        <w:widowControl/>
      </w:pPr>
      <w:r>
        <w:t>Result Data Flow: Provider Result über AI Adapter zur Consumer Validation.</w:t>
      </w:r>
    </w:p>
    <w:p>
      <w:pPr>
        <w:pStyle w:val="CodePath"/>
        <w:widowControl/>
      </w:pPr>
      <w:r>
        <w:t>Lifecycle Wiring: Der Host startet und überwacht den Provider Prozess unabhängig vom Request Path.</w:t>
      </w:r>
    </w:p>
    <w:p>
      <w:pPr>
        <w:pStyle w:val="Heading1"/>
        <w:keepNext/>
        <w:widowControl/>
      </w:pPr>
      <w:r>
        <w:t>5 Lebenszyklus, Fehler und Wiederherstellung</w:t>
      </w:r>
    </w:p>
    <w:p>
      <w:pPr>
        <w:pStyle w:val="ListBullet"/>
        <w:keepLines/>
        <w:widowControl/>
      </w:pPr>
      <w:r>
        <w:t>Configuration bestimmt erlaubte Provider, Transports und Fallback Policy.</w:t>
      </w:r>
    </w:p>
    <w:p>
      <w:pPr>
        <w:pStyle w:val="ListBullet"/>
        <w:keepLines/>
        <w:widowControl/>
      </w:pPr>
      <w:r>
        <w:t>Der Host startet den Provider, prüft Health und publiziert Evidence.</w:t>
      </w:r>
    </w:p>
    <w:p>
      <w:pPr>
        <w:pStyle w:val="ListBullet"/>
        <w:keepLines/>
        <w:widowControl/>
      </w:pPr>
      <w:r>
        <w:t>AI Adapter meldet Ready nur bei verfügbarem freigegebenem Provider und gültiger Policy.</w:t>
      </w:r>
    </w:p>
    <w:p>
      <w:pPr>
        <w:pStyle w:val="ListBullet"/>
        <w:keepLines/>
        <w:widowControl/>
      </w:pPr>
      <w:r>
        <w:t>Timeout, Malformed Response oder Policy Denial liefern einen typisierten Fehler ohne Domain Side Effect.</w:t>
      </w:r>
    </w:p>
    <w:p>
      <w:pPr>
        <w:pStyle w:val="ListBullet"/>
        <w:keepLines/>
        <w:widowControl/>
      </w:pPr>
      <w:r>
        <w:t>Wiederholter Crash setzt die Capability auf Degraded oder Unavailable; False Ready ist verboten.</w:t>
      </w:r>
    </w:p>
    <w:p>
      <w:pPr>
        <w:pStyle w:val="ListBullet"/>
        <w:keepLines/>
        <w:widowControl/>
      </w:pPr>
      <w:r>
        <w:t>Shutdown stoppt neue Requests, bricht erlaubte Operations ab und beendet den Provider Prozess.</w:t>
      </w:r>
    </w:p>
    <w:p>
      <w:pPr>
        <w:pStyle w:val="Heading1"/>
        <w:keepNext/>
        <w:widowControl/>
      </w:pPr>
      <w:r>
        <w:t>6 Sicherheit, Daten und Architekturregeln</w:t>
      </w:r>
    </w:p>
    <w:p>
      <w:pPr>
        <w:pStyle w:val="Heading2"/>
        <w:keepNext/>
        <w:widowControl/>
      </w:pPr>
      <w:r>
        <w:t>Verbindliche Architekturregeln</w:t>
      </w:r>
    </w:p>
    <w:p>
      <w:pPr>
        <w:pStyle w:val="ListBullet"/>
        <w:keepLines/>
        <w:widowControl/>
      </w:pPr>
      <w:r>
        <w:t>AI Output ist keine Domain Truth.</w:t>
      </w:r>
    </w:p>
    <w:p>
      <w:pPr>
        <w:pStyle w:val="ListBullet"/>
        <w:keepLines/>
        <w:widowControl/>
      </w:pPr>
      <w:r>
        <w:t>AI besitzt keinen direkten Zugriff auf SQLite, Save Manager, Game Runtime oder Plugin Execution.</w:t>
      </w:r>
    </w:p>
    <w:p>
      <w:pPr>
        <w:pStyle w:val="ListBullet"/>
        <w:keepLines/>
        <w:widowControl/>
      </w:pPr>
      <w:r>
        <w:t>Context wird vor Übergabe an den Provider minimiert und klassifiziert.</w:t>
      </w:r>
    </w:p>
    <w:p>
      <w:pPr>
        <w:pStyle w:val="ListBullet"/>
        <w:keepLines/>
        <w:widowControl/>
      </w:pPr>
      <w:r>
        <w:t>Secrets erscheinen weder in Prompt noch YAML oder Logs.</w:t>
      </w:r>
    </w:p>
    <w:p>
      <w:pPr>
        <w:pStyle w:val="ListBullet"/>
        <w:keepLines/>
        <w:widowControl/>
      </w:pPr>
      <w:r>
        <w:t>Ein Tool Request benötigt eine eigene Authorization Boundary.</w:t>
      </w:r>
    </w:p>
    <w:p>
      <w:pPr>
        <w:pStyle w:val="ListBullet"/>
        <w:keepLines/>
        <w:widowControl/>
      </w:pPr>
      <w:r>
        <w:t>Ein optionaler AI Ausfall stoppt nicht den verpflichtenden Core Startup.</w:t>
      </w:r>
    </w:p>
    <w:p>
      <w:pPr>
        <w:pStyle w:val="Heading1"/>
        <w:keepNext/>
        <w:widowControl/>
      </w:pPr>
      <w:r>
        <w:t>7 Alternativen und Abwägungen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880"/>
            <w:vAlign w:val="center"/>
            <w:tcMar>
              <w:top w:w="90" w:type="dxa"/>
              <w:start w:w="110" w:type="dxa"/>
              <w:bottom w:w="90" w:type="dxa"/>
              <w:end w:w="110" w:type="dxa"/>
            </w:tcMar>
            <w:shd w:fill="17324D"/>
          </w:tcPr>
          <w:p>
            <w:pPr>
              <w:spacing w:after="0" w:line="240" w:lineRule="auto"/>
            </w:pPr>
            <w:r>
              <w:rPr>
                <w:rFonts w:ascii="Arial" w:hAnsi="Arial"/>
                <w:b/>
                <w:color w:val="FFFFFF"/>
                <w:sz w:val="16"/>
              </w:rPr>
              <w:t>Alternative</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Ergebnis</w:t>
            </w:r>
          </w:p>
        </w:tc>
        <w:tc>
          <w:tcPr>
            <w:tcW w:type="dxa" w:w="5184"/>
            <w:vAlign w:val="center"/>
            <w:tcMar>
              <w:top w:w="90" w:type="dxa"/>
              <w:start w:w="110" w:type="dxa"/>
              <w:bottom w:w="90" w:type="dxa"/>
              <w:end w:w="110" w:type="dxa"/>
            </w:tcMar>
            <w:shd w:fill="17324D"/>
          </w:tcPr>
          <w:p>
            <w:pPr>
              <w:spacing w:after="0" w:line="240" w:lineRule="auto"/>
            </w:pPr>
            <w:r>
              <w:rPr>
                <w:rFonts w:ascii="Arial" w:hAnsi="Arial"/>
                <w:b/>
                <w:color w:val="FFFFFF"/>
                <w:sz w:val="16"/>
              </w:rPr>
              <w:t>Begründung</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Model im Hauptprozess</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Schwache Crash und Ressourcenisolation.</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Direkter Consumer zu Provider</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Dupliziert Security und Context Policy.</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Core als AI Gateway</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Erzeugt generische Abhängigkeit und falsches Ownership.</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Nur externe AI</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Verletzt das Local First Ziel.</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Adapter und separater Provider Prozess</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Gewählt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Unterstützt Isolation und Austauschbarkeit.</w:t>
            </w:r>
          </w:p>
        </w:tc>
      </w:tr>
    </w:tbl>
    <w:p>
      <w:pPr>
        <w:widowControl/>
        <w:spacing w:after="40"/>
      </w:pPr>
    </w:p>
    <w:p>
      <w:pPr>
        <w:pStyle w:val="Heading2"/>
        <w:keepNext/>
        <w:widowControl/>
      </w:pPr>
      <w:r>
        <w:t>Akzeptierte Abwägungen</w:t>
      </w:r>
    </w:p>
    <w:p>
      <w:pPr>
        <w:pStyle w:val="ListBullet"/>
        <w:keepLines/>
        <w:widowControl/>
      </w:pPr>
      <w:r>
        <w:t>Ein separater Prozess erhöht Startup und IPC Complexity, begrenzt aber Crash und Resource Impact.</w:t>
      </w:r>
    </w:p>
    <w:p>
      <w:pPr>
        <w:pStyle w:val="ListBullet"/>
        <w:keepLines/>
        <w:widowControl/>
      </w:pPr>
      <w:r>
        <w:t>Eine strikte Context Policy kann die Antwortqualität reduzieren, ist aber für Privacy und deterministische Authority erforderlich.</w:t>
      </w:r>
    </w:p>
    <w:p>
      <w:pPr>
        <w:pStyle w:val="Heading1"/>
        <w:keepNext/>
        <w:widowControl/>
      </w:pPr>
      <w:r>
        <w:t>8 Umsetzung und Prüfung</w:t>
      </w:r>
    </w:p>
    <w:p>
      <w:pPr>
        <w:pStyle w:val="Heading2"/>
        <w:keepNext/>
        <w:widowControl/>
      </w:pPr>
      <w:r>
        <w:t>Anforderungen an die Umsetzung</w:t>
      </w:r>
    </w:p>
    <w:p>
      <w:pPr>
        <w:pStyle w:val="ListBullet"/>
        <w:keepLines/>
        <w:widowControl/>
      </w:pPr>
      <w:r>
        <w:t>Die AI Adapter API bleibt Transport Neutral und Provider Neutral.</w:t>
      </w:r>
    </w:p>
    <w:p>
      <w:pPr>
        <w:pStyle w:val="ListBullet"/>
        <w:keepLines/>
        <w:widowControl/>
      </w:pPr>
      <w:r>
        <w:t>Der Provider Prozess erhält eine begrenzte Request und liefert eine strukturierte Response.</w:t>
      </w:r>
    </w:p>
    <w:p>
      <w:pPr>
        <w:pStyle w:val="ListBullet"/>
        <w:keepLines/>
        <w:widowControl/>
      </w:pPr>
      <w:r>
        <w:t>Context Manager besitzt keinen direkten Zugriff auf den gesamten Application Memory.</w:t>
      </w:r>
    </w:p>
    <w:p>
      <w:pPr>
        <w:pStyle w:val="ListBullet"/>
        <w:keepLines/>
        <w:widowControl/>
      </w:pPr>
      <w:r>
        <w:t>Rate Limits und Concurrency Limits werden durch Policy festgelegt.</w:t>
      </w:r>
    </w:p>
    <w:p>
      <w:pPr>
        <w:pStyle w:val="ListBullet"/>
        <w:keepLines/>
        <w:widowControl/>
      </w:pPr>
      <w:r>
        <w:t>Jeder Consumer testet deterministische Validation getrennt von Provider Quality.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3240"/>
            <w:vAlign w:val="center"/>
            <w:tcMar>
              <w:top w:w="90" w:type="dxa"/>
              <w:start w:w="110" w:type="dxa"/>
              <w:bottom w:w="90" w:type="dxa"/>
              <w:end w:w="110" w:type="dxa"/>
            </w:tcMar>
            <w:shd w:fill="17324D"/>
          </w:tcPr>
          <w:p>
            <w:pPr>
              <w:spacing w:after="0" w:line="240" w:lineRule="auto"/>
            </w:pPr>
            <w:r>
              <w:rPr>
                <w:rFonts w:ascii="Arial" w:hAnsi="Arial"/>
                <w:b/>
                <w:color w:val="FFFFFF"/>
                <w:sz w:val="16"/>
              </w:rPr>
              <w:t>Prüfung</w:t>
            </w:r>
          </w:p>
        </w:tc>
        <w:tc>
          <w:tcPr>
            <w:tcW w:type="dxa" w:w="6552"/>
            <w:vAlign w:val="center"/>
            <w:tcMar>
              <w:top w:w="90" w:type="dxa"/>
              <w:start w:w="110" w:type="dxa"/>
              <w:bottom w:w="90" w:type="dxa"/>
              <w:end w:w="110" w:type="dxa"/>
            </w:tcMar>
            <w:shd w:fill="17324D"/>
          </w:tcPr>
          <w:p>
            <w:pPr>
              <w:spacing w:after="0" w:line="240" w:lineRule="auto"/>
            </w:pPr>
            <w:r>
              <w:rPr>
                <w:rFonts w:ascii="Arial" w:hAnsi="Arial"/>
                <w:b/>
                <w:color w:val="FFFFFF"/>
                <w:sz w:val="16"/>
              </w:rPr>
              <w:t>PASS Bedingung</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Dependency Scan</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Keine Provider SDK Imports bei Consumers und Core</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Context Tests</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Nur freigegebene Felder werden übertragen</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Failure Tests</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Timeout und Crash erzeugen keine Side Effects</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Authority Tests</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Unvalidated Output wird nicht angewendet</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Readiness Tests</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Optionaler Ausfall ergibt Degraded</w:t>
            </w:r>
          </w:p>
        </w:tc>
      </w:tr>
    </w:tbl>
    <w:p>
      <w:pPr>
        <w:widowControl/>
        <w:spacing w:after="40"/>
      </w:pPr>
    </w:p>
    <w:p>
      <w:pPr>
        <w:pStyle w:val="Heading1"/>
        <w:keepNext/>
        <w:widowControl/>
      </w:pPr>
      <w:r>
        <w:t>9 Nachverfolgbarkeit und Änderungshistorie</w:t>
      </w:r>
    </w:p>
    <w:p>
      <w:pPr>
        <w:pStyle w:val="Heading2"/>
        <w:keepNext/>
        <w:widowControl/>
      </w:pPr>
      <w:r>
        <w:t>Verknüpfte Dokumente</w:t>
      </w:r>
    </w:p>
    <w:p>
      <w:pPr>
        <w:pStyle w:val="ListBullet"/>
        <w:keepLines/>
        <w:widowControl/>
      </w:pPr>
      <w:r>
        <w:t>ADR-008</w:t>
      </w:r>
    </w:p>
    <w:p>
      <w:pPr>
        <w:pStyle w:val="ListBullet"/>
        <w:keepLines/>
        <w:widowControl/>
      </w:pPr>
      <w:r>
        <w:t>ARCH-008 v1.1</w:t>
      </w:r>
    </w:p>
    <w:p>
      <w:pPr>
        <w:pStyle w:val="ListBullet"/>
        <w:keepLines/>
        <w:widowControl/>
      </w:pPr>
      <w:r>
        <w:t>ARCH-009 v1.1</w:t>
      </w:r>
    </w:p>
    <w:p>
      <w:pPr>
        <w:pStyle w:val="ListBullet"/>
        <w:keepLines/>
        <w:widowControl/>
      </w:pPr>
      <w:r>
        <w:t>ARCH-012 v1.1</w:t>
      </w:r>
    </w:p>
    <w:p>
      <w:pPr>
        <w:pStyle w:val="ListBullet"/>
        <w:keepLines/>
        <w:widowControl/>
      </w:pPr>
      <w:r>
        <w:t>MOD-001 v1.2</w:t>
      </w:r>
    </w:p>
    <w:p>
      <w:pPr>
        <w:pStyle w:val="ListBullet"/>
        <w:keepLines/>
        <w:widowControl/>
      </w:pPr>
      <w:r>
        <w:t>AUDIT-007</w:t>
      </w:r>
    </w:p>
    <w:p>
      <w:pPr>
        <w:pStyle w:val="ListBullet"/>
        <w:keepLines/>
        <w:widowControl/>
      </w:pPr>
      <w:r>
        <w:t>AUDIT-028</w:t>
      </w:r>
    </w:p>
    <w:p>
      <w:pPr>
        <w:pStyle w:val="Heading2"/>
        <w:keepNext/>
        <w:widowControl/>
      </w:pPr>
      <w:r>
        <w:t>Änderungshistorie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1152"/>
            <w:vAlign w:val="center"/>
            <w:tcMar>
              <w:top w:w="90" w:type="dxa"/>
              <w:start w:w="110" w:type="dxa"/>
              <w:bottom w:w="90" w:type="dxa"/>
              <w:end w:w="110" w:type="dxa"/>
            </w:tcMar>
            <w:shd w:fill="17324D"/>
          </w:tcPr>
          <w:p>
            <w:pPr>
              <w:spacing w:after="0" w:line="240" w:lineRule="auto"/>
            </w:pPr>
            <w:r>
              <w:rPr>
                <w:rFonts w:ascii="Arial" w:hAnsi="Arial"/>
                <w:b/>
                <w:color w:val="FFFFFF"/>
                <w:sz w:val="16"/>
              </w:rPr>
              <w:t>Version</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Datum</w:t>
            </w:r>
          </w:p>
        </w:tc>
        <w:tc>
          <w:tcPr>
            <w:tcW w:type="dxa" w:w="6912"/>
            <w:vAlign w:val="center"/>
            <w:tcMar>
              <w:top w:w="90" w:type="dxa"/>
              <w:start w:w="110" w:type="dxa"/>
              <w:bottom w:w="90" w:type="dxa"/>
              <w:end w:w="110" w:type="dxa"/>
            </w:tcMar>
            <w:shd w:fill="17324D"/>
          </w:tcPr>
          <w:p>
            <w:pPr>
              <w:spacing w:after="0" w:line="240" w:lineRule="auto"/>
            </w:pPr>
            <w:r>
              <w:rPr>
                <w:rFonts w:ascii="Arial" w:hAnsi="Arial"/>
                <w:b/>
                <w:color w:val="FFFFFF"/>
                <w:sz w:val="16"/>
              </w:rPr>
              <w:t>Änderung</w:t>
            </w:r>
          </w:p>
        </w:tc>
      </w:tr>
      <w:tr>
        <w:trPr>
          <w:cantSplit/>
        </w:trPr>
        <w:tc>
          <w:tcPr>
            <w:tcW w:type="dxa" w:w="11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v1.0</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2026-08-13</w:t>
            </w:r>
          </w:p>
        </w:tc>
        <w:tc>
          <w:tcPr>
            <w:tcW w:type="dxa" w:w="6912"/>
            <w:vAlign w:val="center"/>
            <w:tcMar>
              <w:top w:w="90" w:type="dxa"/>
              <w:start w:w="110" w:type="dxa"/>
              <w:bottom w:w="90" w:type="dxa"/>
              <w:end w:w="110" w:type="dxa"/>
            </w:tcMar>
            <w:shd w:fill="FFFFFF"/>
          </w:tcPr>
          <w:p>
            <w:pPr>
              <w:spacing w:after="0" w:line="240" w:lineRule="auto"/>
            </w:pPr>
            <w:r>
              <w:rPr>
                <w:rFonts w:ascii="Arial" w:hAnsi="Arial"/>
                <w:b w:val="0"/>
                <w:color w:val="000000"/>
                <w:sz w:val="16"/>
              </w:rPr>
              <w:t>Historical complete edition</w:t>
            </w:r>
          </w:p>
        </w:tc>
      </w:tr>
      <w:tr>
        <w:trPr>
          <w:cantSplit/>
        </w:trPr>
        <w:tc>
          <w:tcPr>
            <w:tcW w:type="dxa" w:w="11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c>
          <w:tcPr>
            <w:tcW w:type="dxa" w:w="691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Vollständige konsolidierte Fassung erstellt. Semantische Korrekturen sind in den Haupttext integriert; wiederholte Titelblöcke, mehrdeutige Diagramme und zu dichte Tabellen der alten Fassung wurden entfernt.</w:t>
            </w:r>
          </w:p>
        </w:tc>
      </w:tr>
    </w:tbl>
    <w:p>
      <w:pPr>
        <w:widowControl/>
        <w:spacing w:after="40"/>
      </w:pPr>
    </w:p>
    <w:sectPr w:rsidR="00FC693F" w:rsidRPr="0006063C" w:rsidSect="00034616">
      <w:headerReference w:type="default" r:id="rId9"/>
      <w:footerReference w:type="default" r:id="rId10"/>
      <w:pgSz w:w="11906" w:h="16838"/>
      <w:pgMar w:top="907" w:right="1020" w:bottom="907"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ADR-004   DE   v2.0   </w:t>
    </w:r>
    <w:r>
      <w:rPr>
        <w:rFonts w:ascii="Arial" w:hAnsi="Arial"/>
        <w:sz w:val="16"/>
      </w:rPr>
      <w:fldChar w:fldCharType="begin"/>
      <w:instrText xml:space="preserve"> PAGE </w:instrText>
      <w:fldChar w:fldCharType="separate"/>
      <w:t>1</w:t>
      <w:fldChar w:fldCharType="end"/>
    </w:r>
    <w:r>
      <w:rPr>
        <w:sz w:val="16"/>
      </w:rPr>
      <w:t xml:space="preserve"> / </w:t>
    </w:r>
    <w:r>
      <w:rPr>
        <w:rFonts w:ascii="Arial" w:hAnsi="Arial"/>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World Engine   ADR-004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Arial"/>
      <w:b w:val="0"/>
      <w:i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80"/>
      <w:contextualSpacing/>
      <w:jc w:val="center"/>
    </w:pPr>
    <w:rPr>
      <w:rFonts w:asciiTheme="majorHAnsi" w:eastAsiaTheme="majorEastAsia" w:hAnsiTheme="majorHAnsi" w:cstheme="majorBidi" w:ascii="Arial" w:hAnsi="Arial" w:eastAsia="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Arial" w:hAnsi="Arial" w:eastAsia="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Arial" w:hAnsi="Arial" w:eastAsia="Arial"/>
      <w:b w:val="0"/>
      <w:i w:val="0"/>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keepLines/>
      <w:spacing w:before="40" w:after="60"/>
      <w:ind w:left="312"/>
    </w:pPr>
    <w:rPr>
      <w:rFonts w:ascii="Consolas" w:hAnsi="Consolas" w:eastAsia="Consolas"/>
      <w:b w:val="0"/>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ADR-004 Lokale künstliche Intelligenz</dc:title>
  <dc:subject>World Engine architecture decision v2.0</dc:subject>
  <dc:creator>Andrii Drahulskyi</dc:creator>
  <cp:keywords>World Engine, ADR, architecture, audited, consolidated</cp:keywords>
  <dc:description>Full consolidated architecture-audited edition</dc:description>
  <cp:lastModifiedBy/>
  <cp:revision>1</cp:revision>
  <dcterms:created xsi:type="dcterms:W3CDTF">2013-12-23T23:15:00Z</dcterms:created>
  <dcterms:modified xsi:type="dcterms:W3CDTF">2013-12-23T23:15:00Z</dcterms:modified>
  <cp:category/>
</cp:coreProperties>
</file>