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ADR-001 — Core Architecture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Amendment v1.1 · Präzisierung von Core, Ports und Composition 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ADR-001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Dieses Amendment bewahrt die modulare Core-Entscheidung aus ADR-001, beseitigt aber die Mehrdeutigkeit zwischen Anwendungskoordination, statischer Abhängigkeit und Lebenszyklusverantwortung.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Core bleibt die Schicht für Use-Case-Koordination und Simulationssemantik. Application Host / Composition Root besitzt Prozesskomposition, Komponentenerzeugung, übergeordnetes Starten/Stoppen und die Aggregation der Anwendungsbereitschaft.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Verbindliche 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steuert nur seinen eigenen Coordination Lifecycle und erzeugt nicht den globalen Subsystemgraphen.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Synchrone Aufrufe sind nur über explizite, schmale Use-Case-Ports erlaubt, wenn ein unmittelbares Ergebnis erforderlich ist.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ist weder Service Locator noch Module Registry oder universelles Dependency Gateway.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Persistenzzugriff von Core ist nur über einen begründeten Core-eigenen Status-/Persistenzport zulässig; generisches Repository und Domain-CRUD sind verboten.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ADR-001 · Core Architecture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 Auslegung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Integration nutzt Game Ingress Port und Game Output/Capability Port; Laufzeitaufrufe dürfen bidirektional sein, Implementierungsabhängigkeiten bleiben azyklisch.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ist in v1.0 kein generischer AI Consumer. Dialogue und weitere explizit genehmigte Consumer treten über AI Adapter ein.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Save/Load darf über einen schmalen Application/Core-Use-Case-Vertrag eintreten; Save Manager besitzt jedoch Save Contract und Restore-Semantik.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Architekturpfeile müssen ihre Semantik kennzeichnen: static dependency, runtime call, event, data flow, ownership oder lifecycle wiring.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Folgen und 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Folge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Konformitätsprüfung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Das Amendment verhindert einen God Core und statische Zyklen, ohne praktische Koordination zu verlieren. Jede neue Core-Abhängigkeit benötigt einen prüfbaren Use Case, einen Vertragsinhaber und Architecture Review.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Implementierungsänderungen müssen durch Architecture Tests, Dependency-Graph-Validierung und Review der Vertragsinhaber bestätigt werden.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Historischer Status und Supersession</w:t>
      </w:r>
    </w:p>
    <w:p>
      <w:pPr>
        <w:keepLines/>
      </w:pPr>
      <w:r>
        <w:rPr>
          <w:rFonts w:ascii="Arial" w:hAnsi="Arial" w:eastAsia="Arial"/>
          <w:sz w:val="19"/>
        </w:rPr>
        <w:t>Das ursprüngliche ADR v1.0 bleibt eine historische Entscheidungsaufzeichnung. Dieses Amendment/diese Klarstellung definiert die normative Auslegung für World Engine Version 1.x und schreibt die Ursprungsdatei nicht um.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§3; AUDIT-008; ADR-008; ARCH-004 v1.4; ARCH-005 v1.4; MOD-001 v1.2.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— Core Architecture — Amendment v1.1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