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ADR-004 — Local AI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Amendment v1.1 · einheitlicher Einstieg und AI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ADR-004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Das Amendment beseitigt zwei unvereinbare Lesarten der Reihenfolge von AI Adapter und Context Manager und trennt den Consumer-Pfad von der Steuerung des Provider-Prozesses.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Die kanonische Kette lautet: Approved Consumer → AI Adapter / AI Capability Port → Context Manager → Provider Abstraction → Local/External Provider.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Dialogue ist der primäre AI Consumer in v1.0; weitere Consumer benötigen einen expliziten Use-Case-Vertrag.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ist kein generischer AI Consumer und hängt weder von Provider SDKs noch vom Modell des Context Managers ab.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Context Manager liegt aus Consumer-Sicht hinter der AI-Adapter-Grenze und erhält nur minimierten, genehmigten Kontext.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Host/Composition Root besitzt Start, Readiness Monitoring, Restart Policy und Stoppen des Provider-Prozesses.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ADR-004 · Local AI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Adapter besitzt transportneutrale Validierung, Timeouts, Cancellation, Rate Limits und die Security Boundary.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HTTP und ein fester Localhost-Port sind nicht vorgeschrieben; genehmigte Loopback- oder IPC-Transports sind zulässig.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Output ist nicht autoritativ, bis eine deterministische Application-/Domain-Validierung ihn ausdrücklich akzeptiert.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besitzt keine direkte Autorität über SQLite, Save, Game Runtime oder Plugin Execution; Ausfall einer optionalen AI führt zu Degraded statt zu falschem Ready.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Der einheitliche Einstieg hält Provider und Transports austauschbar, reduziert Kontextlecks und verhindert eine versteckte AI-Abhängigkeit von Core.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§6; AUD-007; ADR-008; ARCH-008 v1.1; ARCH-012 v1.1; MOD-001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 — Local AI — Amendment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