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 w:eastAsia="Arial"/>
          <w:b/>
          <w:color w:val="138A8A"/>
          <w:sz w:val="17"/>
        </w:rPr>
        <w:t>ARCHITECTURE DECISION RECORD</w:t>
      </w:r>
    </w:p>
    <w:p>
      <w:pPr>
        <w:pStyle w:val="Title"/>
      </w:pPr>
      <w:r>
        <w:rPr>
          <w:rFonts w:ascii="Arial" w:hAnsi="Arial" w:eastAsia="Arial"/>
          <w:b/>
          <w:color w:val="17324D"/>
          <w:sz w:val="42"/>
        </w:rPr>
        <w:t>ADR-004 — Local AI</w:t>
      </w:r>
    </w:p>
    <w:p>
      <w:pPr>
        <w:pStyle w:val="Subtitle"/>
      </w:pPr>
      <w:r>
        <w:rPr>
          <w:rFonts w:ascii="Arial" w:hAnsi="Arial" w:eastAsia="Arial"/>
          <w:b/>
          <w:color w:val="138A8A"/>
          <w:sz w:val="22"/>
        </w:rPr>
        <w:t>Поправка v1.1 · единая точка входа и lifecycle AI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  <w:tblHeader w:val="true"/>
        </w:trPr>
        <w:tc>
          <w:tcPr>
            <w:tcW w:type="dxa" w:w="2665"/>
            <w:shd w:fill="17324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Поле</w:t>
            </w:r>
          </w:p>
        </w:tc>
        <w:tc>
          <w:tcPr>
            <w:tcW w:type="dxa" w:w="6746"/>
            <w:shd w:fill="17324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Значение</w:t>
            </w:r>
          </w:p>
        </w:tc>
      </w:tr>
      <w:tr>
        <w:trPr>
          <w:cantSplit/>
        </w:trPr>
        <w:tc>
          <w:tcPr>
            <w:tcW w:type="dxa" w:w="266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Язык</w:t>
            </w:r>
          </w:p>
        </w:tc>
        <w:tc>
          <w:tcPr>
            <w:tcW w:type="dxa" w:w="674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RU</w:t>
            </w:r>
          </w:p>
        </w:tc>
      </w:tr>
      <w:tr>
        <w:trPr>
          <w:cantSplit/>
        </w:trPr>
        <w:tc>
          <w:tcPr>
            <w:tcW w:type="dxa" w:w="2665"/>
            <w:shd w:fill="F2F5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Version</w:t>
            </w:r>
          </w:p>
        </w:tc>
        <w:tc>
          <w:tcPr>
            <w:tcW w:type="dxa" w:w="6746"/>
            <w:shd w:fill="F2F5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v1.1</w:t>
            </w:r>
          </w:p>
        </w:tc>
      </w:tr>
      <w:tr>
        <w:trPr>
          <w:cantSplit/>
        </w:trPr>
        <w:tc>
          <w:tcPr>
            <w:tcW w:type="dxa" w:w="266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Статус</w:t>
            </w:r>
          </w:p>
        </w:tc>
        <w:tc>
          <w:tcPr>
            <w:tcW w:type="dxa" w:w="674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Proposed — Architecture Audited</w:t>
            </w:r>
          </w:p>
        </w:tc>
      </w:tr>
      <w:tr>
        <w:trPr>
          <w:cantSplit/>
        </w:trPr>
        <w:tc>
          <w:tcPr>
            <w:tcW w:type="dxa" w:w="2665"/>
            <w:shd w:fill="F2F5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Дата</w:t>
            </w:r>
          </w:p>
        </w:tc>
        <w:tc>
          <w:tcPr>
            <w:tcW w:type="dxa" w:w="6746"/>
            <w:shd w:fill="F2F5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2026-09-04</w:t>
            </w:r>
          </w:p>
        </w:tc>
      </w:tr>
      <w:tr>
        <w:trPr>
          <w:cantSplit/>
        </w:trPr>
        <w:tc>
          <w:tcPr>
            <w:tcW w:type="dxa" w:w="266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Родительское решение</w:t>
            </w:r>
          </w:p>
        </w:tc>
        <w:tc>
          <w:tcPr>
            <w:tcW w:type="dxa" w:w="674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ADR-004 v1.0</w:t>
            </w:r>
          </w:p>
        </w:tc>
      </w:tr>
      <w:tr>
        <w:trPr>
          <w:cantSplit/>
        </w:trPr>
        <w:tc>
          <w:tcPr>
            <w:tcW w:type="dxa" w:w="2665"/>
            <w:shd w:fill="F2F5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Область</w:t>
            </w:r>
          </w:p>
        </w:tc>
        <w:tc>
          <w:tcPr>
            <w:tcW w:type="dxa" w:w="6746"/>
            <w:shd w:fill="F2F5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Amendment</w:t>
            </w:r>
          </w:p>
        </w:tc>
      </w:tr>
      <w:tr>
        <w:trPr>
          <w:cantSplit/>
        </w:trPr>
        <w:tc>
          <w:tcPr>
            <w:tcW w:type="dxa" w:w="266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Целевой релиз</w:t>
            </w:r>
          </w:p>
        </w:tc>
        <w:tc>
          <w:tcPr>
            <w:tcW w:type="dxa" w:w="674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World Engine Version 1.x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Arial" w:hAnsi="Arial" w:eastAsia="Arial"/>
          <w:b/>
          <w:color w:val="17324D"/>
          <w:sz w:val="28"/>
        </w:rPr>
        <w:t>1. Назначение</w:t>
      </w:r>
    </w:p>
    <w:p>
      <w:pPr>
        <w:keepLines/>
      </w:pPr>
      <w:r>
        <w:rPr>
          <w:rFonts w:ascii="Arial" w:hAnsi="Arial" w:eastAsia="Arial"/>
          <w:sz w:val="19"/>
        </w:rPr>
        <w:t>Поправка устраняет две несовместимые трактовки порядка AI Adapter и Context Manager и отделяет consumer path от управления процессом provider.</w:t>
      </w:r>
    </w:p>
    <w:p>
      <w:pPr>
        <w:pStyle w:val="Heading1"/>
        <w:keepNext/>
      </w:pPr>
      <w:r>
        <w:rPr>
          <w:rFonts w:ascii="Arial" w:hAnsi="Arial" w:eastAsia="Arial"/>
          <w:b/>
          <w:color w:val="17324D"/>
          <w:sz w:val="28"/>
        </w:rPr>
        <w:t>2. Решение</w:t>
      </w:r>
    </w:p>
    <w:p>
      <w:pPr>
        <w:keepLines/>
      </w:pPr>
      <w:r>
        <w:rPr>
          <w:rFonts w:ascii="Arial" w:hAnsi="Arial" w:eastAsia="Arial"/>
          <w:sz w:val="19"/>
        </w:rPr>
        <w:t>Каноническая цепочка: Approved Consumer → AI Adapter / AI Capability Port → Context Manager → Provider Abstraction → Local/External Provider.</w:t>
      </w:r>
    </w:p>
    <w:p>
      <w:pPr>
        <w:pStyle w:val="Heading1"/>
        <w:keepNext/>
      </w:pPr>
      <w:r>
        <w:rPr>
          <w:rFonts w:ascii="Arial" w:hAnsi="Arial" w:eastAsia="Arial"/>
          <w:b/>
          <w:color w:val="17324D"/>
          <w:sz w:val="28"/>
        </w:rPr>
        <w:t>3. Обязательные правила</w:t>
      </w:r>
    </w:p>
    <w:p>
      <w:pPr>
        <w:pStyle w:val="ListBullet"/>
        <w:keepLines/>
      </w:pPr>
      <w:r>
        <w:rPr>
          <w:rFonts w:ascii="Arial" w:hAnsi="Arial" w:eastAsia="Arial"/>
          <w:sz w:val="18"/>
        </w:rPr>
        <w:t>Dialogue — основной AI consumer в v1.0; дополнительные consumers требуют явного use-case contract.</w:t>
      </w:r>
    </w:p>
    <w:p>
      <w:pPr>
        <w:pStyle w:val="ListBullet"/>
        <w:keepLines/>
      </w:pPr>
      <w:r>
        <w:rPr>
          <w:rFonts w:ascii="Arial" w:hAnsi="Arial" w:eastAsia="Arial"/>
          <w:sz w:val="18"/>
        </w:rPr>
        <w:t>Core не является generic AI consumer и не зависит от provider SDK или модели Context Manager.</w:t>
      </w:r>
    </w:p>
    <w:p>
      <w:pPr>
        <w:pStyle w:val="ListBullet"/>
        <w:keepLines/>
      </w:pPr>
      <w:r>
        <w:rPr>
          <w:rFonts w:ascii="Arial" w:hAnsi="Arial" w:eastAsia="Arial"/>
          <w:sz w:val="18"/>
        </w:rPr>
        <w:t>Context Manager находится за границей AI Adapter с точки зрения consumer и получает только минимизированный разрешённый контекст.</w:t>
      </w:r>
    </w:p>
    <w:p>
      <w:pPr>
        <w:pStyle w:val="ListBullet"/>
        <w:keepLines/>
      </w:pPr>
      <w:r>
        <w:rPr>
          <w:rFonts w:ascii="Arial" w:hAnsi="Arial" w:eastAsia="Arial"/>
          <w:sz w:val="18"/>
        </w:rPr>
        <w:t>Host/Composition Root владеет запуском, readiness monitoring, restart policy и остановкой provider process.</w:t>
      </w:r>
    </w:p>
    <w:p>
      <w:r>
        <w:br w:type="page"/>
      </w:r>
    </w:p>
    <w:p>
      <w:pPr>
        <w:spacing w:after="40"/>
      </w:pPr>
      <w:r>
        <w:rPr>
          <w:rFonts w:ascii="Arial" w:hAnsi="Arial" w:eastAsia="Arial"/>
          <w:b/>
          <w:color w:val="138A8A"/>
          <w:sz w:val="17"/>
        </w:rPr>
        <w:t>ADR-004 · Local AI</w:t>
      </w:r>
    </w:p>
    <w:p>
      <w:pPr>
        <w:pStyle w:val="Heading1"/>
        <w:keepNext/>
      </w:pPr>
      <w:r>
        <w:rPr>
          <w:rFonts w:ascii="Arial" w:hAnsi="Arial" w:eastAsia="Arial"/>
          <w:b/>
          <w:color w:val="17324D"/>
          <w:sz w:val="28"/>
        </w:rPr>
        <w:t>Нормативная интерпретация</w:t>
      </w:r>
    </w:p>
    <w:p>
      <w:pPr>
        <w:pStyle w:val="ListBullet"/>
        <w:keepLines/>
      </w:pPr>
      <w:r>
        <w:rPr>
          <w:rFonts w:ascii="Arial" w:hAnsi="Arial" w:eastAsia="Arial"/>
          <w:sz w:val="18"/>
        </w:rPr>
        <w:t>AI Adapter владеет transport-neutral validation, timeouts, cancellation, rate limits и security boundary.</w:t>
      </w:r>
    </w:p>
    <w:p>
      <w:pPr>
        <w:pStyle w:val="ListBullet"/>
        <w:keepLines/>
      </w:pPr>
      <w:r>
        <w:rPr>
          <w:rFonts w:ascii="Arial" w:hAnsi="Arial" w:eastAsia="Arial"/>
          <w:sz w:val="18"/>
        </w:rPr>
        <w:t>HTTP и фиксированный localhost port не являются обязательной архитектурой; допустимы утверждённые loopback или IPC transports.</w:t>
      </w:r>
    </w:p>
    <w:p>
      <w:pPr>
        <w:pStyle w:val="ListBullet"/>
        <w:keepLines/>
      </w:pPr>
      <w:r>
        <w:rPr>
          <w:rFonts w:ascii="Arial" w:hAnsi="Arial" w:eastAsia="Arial"/>
          <w:sz w:val="18"/>
        </w:rPr>
        <w:t>AI output неавторитетен, пока deterministic application/domain validation явно не примет результат.</w:t>
      </w:r>
    </w:p>
    <w:p>
      <w:pPr>
        <w:pStyle w:val="ListBullet"/>
        <w:keepLines/>
      </w:pPr>
      <w:r>
        <w:rPr>
          <w:rFonts w:ascii="Arial" w:hAnsi="Arial" w:eastAsia="Arial"/>
          <w:sz w:val="18"/>
        </w:rPr>
        <w:t>AI не имеет прямой власти над SQLite, Save, Game runtime или Plugin execution; outage опционального AI ведёт к Degraded, а не ложному Ready.</w:t>
      </w:r>
    </w:p>
    <w:p>
      <w:pPr>
        <w:pStyle w:val="Heading1"/>
        <w:keepNext/>
      </w:pPr>
      <w:r>
        <w:rPr>
          <w:rFonts w:ascii="Arial" w:hAnsi="Arial" w:eastAsia="Arial"/>
          <w:b/>
          <w:color w:val="17324D"/>
          <w:sz w:val="28"/>
        </w:rPr>
        <w:t>4. Последствия и контроль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  <w:tblHeader w:val="true"/>
        </w:trPr>
        <w:tc>
          <w:tcPr>
            <w:tcW w:type="dxa" w:w="4706"/>
            <w:shd w:fill="17324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Последствие</w:t>
            </w:r>
          </w:p>
        </w:tc>
        <w:tc>
          <w:tcPr>
            <w:tcW w:type="dxa" w:w="4706"/>
            <w:shd w:fill="17324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Проверка соответствия</w:t>
            </w:r>
          </w:p>
        </w:tc>
      </w:tr>
      <w:tr>
        <w:trPr>
          <w:cantSplit/>
        </w:trPr>
        <w:tc>
          <w:tcPr>
            <w:tcW w:type="dxa" w:w="470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Единая точка входа делает providers и transports заменяемыми, уменьшает утечку контекста и исключает скрытую AI-зависимость Core.</w:t>
            </w:r>
          </w:p>
        </w:tc>
        <w:tc>
          <w:tcPr>
            <w:tcW w:type="dxa" w:w="470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Изменения реализации должны подтверждаться architecture tests, dependency graph validation и review владельцев контрактов.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Arial" w:hAnsi="Arial" w:eastAsia="Arial"/>
          <w:b/>
          <w:color w:val="17324D"/>
          <w:sz w:val="28"/>
        </w:rPr>
        <w:t>5. Исторический статус и supersession</w:t>
      </w:r>
    </w:p>
    <w:p>
      <w:pPr>
        <w:keepLines/>
      </w:pPr>
      <w:r>
        <w:rPr>
          <w:rFonts w:ascii="Arial" w:hAnsi="Arial" w:eastAsia="Arial"/>
          <w:sz w:val="19"/>
        </w:rPr>
        <w:t>Исходный ADR v1.0 остаётся исторической записью решения. Эта поправка/уточнение определяет нормативную интерпретацию World Engine Version 1.x и не переписывает исходный файл.</w:t>
      </w:r>
    </w:p>
    <w:p>
      <w:pPr>
        <w:pStyle w:val="Heading1"/>
        <w:keepNext/>
      </w:pPr>
      <w:r>
        <w:rPr>
          <w:rFonts w:ascii="Arial" w:hAnsi="Arial" w:eastAsia="Arial"/>
          <w:b/>
          <w:color w:val="17324D"/>
          <w:sz w:val="28"/>
        </w:rPr>
        <w:t>6. Traceability</w:t>
      </w:r>
    </w:p>
    <w:p>
      <w:pPr>
        <w:keepLines/>
      </w:pPr>
      <w:r>
        <w:rPr>
          <w:rFonts w:ascii="Arial" w:hAnsi="Arial" w:eastAsia="Arial"/>
          <w:sz w:val="19"/>
        </w:rPr>
        <w:t>AUDIT-007 §6; AUD-007; ADR-008; ARCH-008 v1.1; ARCH-012 v1.1; MOD-001 v1.2.</w:t>
      </w:r>
    </w:p>
    <w:p>
      <w:pPr>
        <w:pStyle w:val="Heading1"/>
        <w:keepNext/>
      </w:pPr>
      <w:r>
        <w:rPr>
          <w:rFonts w:ascii="Arial" w:hAnsi="Arial" w:eastAsia="Arial"/>
          <w:b/>
          <w:color w:val="17324D"/>
          <w:sz w:val="28"/>
        </w:rPr>
        <w:t>7. Change Log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cantSplit/>
          <w:tblHeader w:val="true"/>
        </w:trPr>
        <w:tc>
          <w:tcPr>
            <w:tcW w:type="dxa" w:w="1247"/>
            <w:shd w:fill="17324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Version</w:t>
            </w:r>
          </w:p>
        </w:tc>
        <w:tc>
          <w:tcPr>
            <w:tcW w:type="dxa" w:w="1814"/>
            <w:shd w:fill="17324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Date</w:t>
            </w:r>
          </w:p>
        </w:tc>
        <w:tc>
          <w:tcPr>
            <w:tcW w:type="dxa" w:w="6350"/>
            <w:shd w:fill="17324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Change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v1.1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2026-09-04</w:t>
            </w:r>
          </w:p>
        </w:tc>
        <w:tc>
          <w:tcPr>
            <w:tcW w:type="dxa" w:w="635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Rebuilt audited amendment/clarification from the approved repository audit baseline; no historical ADR was modified.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pgSz w:w="11906" w:h="16838"/>
      <w:pgMar w:top="879" w:right="964" w:bottom="822" w:left="96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Arial"/>
        <w:color w:val="536273"/>
        <w:sz w:val="16"/>
      </w:rPr>
      <w:t xml:space="preserve">World Engine · Architecture Audit · </w:t>
    </w:r>
    <w:r>
      <w:fldChar w:fldCharType="begin"/>
      <w:instrText xml:space="preserve">PAGE</w:instrText>
      <w:fldChar w:fldCharType="separate"/>
      <w:t>1</w:t>
      <w:fldChar w:fldCharType="end"/>
    </w:r>
    <w:r>
      <w:rPr>
        <w:rFonts w:ascii="Arial" w:hAnsi="Arial" w:eastAsia="Arial"/>
        <w:color w:val="536273"/>
        <w:sz w:val="16"/>
      </w:rPr>
      <w:t xml:space="preserve"> / </w:t>
    </w:r>
    <w:r>
      <w:fldChar w:fldCharType="begin"/>
      <w:instrText xml:space="preserve">NUMPAGES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80" w:line="252" w:lineRule="auto"/>
    </w:pPr>
    <w:rPr>
      <w:rFonts w:ascii="Arial" w:hAnsi="Arial" w:eastAsia="Arial"/>
      <w:color w:val="1F293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80" w:after="6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7324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60" w:after="4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38A8A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Arial" w:hAnsi="Arial" w:eastAsia="Arial"/>
      <w:b/>
      <w:color w:val="17324D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60"/>
    </w:pPr>
    <w:rPr>
      <w:rFonts w:asciiTheme="majorHAnsi" w:eastAsiaTheme="majorEastAsia" w:hAnsiTheme="majorHAnsi" w:cstheme="majorBidi" w:ascii="Arial" w:hAnsi="Arial" w:eastAsia="Arial"/>
      <w:b/>
      <w:i/>
      <w:iCs/>
      <w:color w:val="138A8A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 w:line="245" w:lineRule="auto"/>
      <w:ind w:left="312" w:hanging="159"/>
      <w:contextualSpacing/>
    </w:pPr>
    <w:rPr>
      <w:rFonts w:ascii="Arial" w:hAnsi="Arial" w:eastAsia="Arial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 w:line="245" w:lineRule="auto"/>
      <w:ind w:left="312" w:hanging="159"/>
      <w:contextualSpacing/>
    </w:pPr>
    <w:rPr>
      <w:rFonts w:ascii="Arial" w:hAnsi="Arial" w:eastAsia="Arial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/>
      <w:spacing w:line="240" w:lineRule="auto" w:before="0" w:after="40"/>
    </w:pPr>
    <w:rPr>
      <w:rFonts w:ascii="Arial" w:hAnsi="Arial" w:eastAsia="Arial"/>
      <w:b w:val="0"/>
      <w:bCs/>
      <w:color w:val="536273"/>
      <w:sz w:val="16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keepNext/>
      <w:spacing w:before="40" w:after="80"/>
      <w:ind w:left="198" w:right="198"/>
    </w:pPr>
    <w:rPr>
      <w:rFonts w:ascii="Consolas" w:hAnsi="Consolas" w:eastAsia="Consolas"/>
      <w:b w:val="0"/>
      <w:color w:val="17324D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ADR-004 — Local AI — Amendment v1.1 (RU)</dc:title>
  <dc:subject>World Engine architecture decision audit</dc:subject>
  <dc:creator>Andrii Drahulskyi</dc:creator>
  <cp:keywords>World Engine, ADR, architecture audit</cp:keywords>
  <dc:description>Rebuilt from the approved architecture audit baseline; historical ADR files remain unchanged.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