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00"/>
        <w:jc w:val="center"/>
      </w:pPr>
      <w:r>
        <w:rPr>
          <w:rFonts w:ascii="Arial" w:hAnsi="Arial"/>
          <w:b/>
          <w:color w:val="17324D"/>
          <w:sz w:val="18"/>
        </w:rPr>
        <w:t>ARCHITECTURE DECISION RECORD</w:t>
      </w:r>
    </w:p>
    <w:p>
      <w:pPr>
        <w:pStyle w:val="Title"/>
        <w:widowControl/>
      </w:pPr>
      <w:r>
        <w:t>ADR 006 Plugin Erkennung</w:t>
      </w:r>
    </w:p>
    <w:p>
      <w:pPr>
        <w:pStyle w:val="Subtitle"/>
        <w:widowControl/>
      </w:pPr>
      <w:r>
        <w:t>World Engine Architekturentscheidung</w:t>
      </w:r>
    </w:p>
    <w:p>
      <w:pPr>
        <w:pStyle w:val="Heading2"/>
        <w:keepNext/>
        <w:widowControl/>
      </w:pPr>
      <w:r>
        <w:t>Entscheidung im Überblick</w:t>
      </w:r>
    </w:p>
    <w:p>
      <w:pPr>
        <w:widowControl/>
        <w:spacing w:after="160"/>
      </w:pPr>
      <w:r>
        <w:t>Plugin Detection erzeugt normalisierte versionierte Evidence über gefundene Plugins. Diese Evidence ist kein globales Compatibility Flag. Game Adapter, Save Manager und Configuration treffen eigene Entscheidungen innerhalb ihrer Grenzen; der Host steuert den Lifecycle des Detectors.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Field</w:t>
            </w:r>
          </w:p>
        </w:tc>
        <w:tc>
          <w:tcPr>
            <w:tcW w:type="dxa" w:w="7272"/>
            <w:vAlign w:val="center"/>
            <w:tcMar>
              <w:top w:w="90" w:type="dxa"/>
              <w:start w:w="110" w:type="dxa"/>
              <w:bottom w:w="90" w:type="dxa"/>
              <w:end w:w="110" w:type="dxa"/>
            </w:tcMar>
            <w:shd w:fill="17324D"/>
          </w:tcPr>
          <w:p>
            <w:pPr>
              <w:spacing w:after="0" w:line="240" w:lineRule="auto"/>
            </w:pPr>
            <w:r>
              <w:rPr>
                <w:rFonts w:ascii="Arial" w:hAnsi="Arial"/>
                <w:b/>
                <w:color w:val="FFFFFF"/>
                <w:sz w:val="16"/>
              </w:rPr>
              <w:t>Value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Dokument</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ADR-006</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Version</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Status</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Accepted — Architecture Audited</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Sprache</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DE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Geltungsbereich</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World Engine Version 1.x</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Datum</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Autor</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Andrii Drahulskyi</w:t>
            </w:r>
          </w:p>
        </w:tc>
      </w:tr>
    </w:tbl>
    <w:p>
      <w:pPr>
        <w:widowControl/>
        <w:spacing w:after="40"/>
      </w:pPr>
    </w:p>
    <w:p>
      <w:pPr>
        <w:pStyle w:val="Heading2"/>
        <w:keepNext/>
        <w:widowControl/>
      </w:pPr>
      <w:r>
        <w:t>Inhalt</w:t>
      </w:r>
    </w:p>
    <w:p>
      <w:pPr>
        <w:pStyle w:val="ListBullet"/>
        <w:keepLines/>
        <w:widowControl/>
      </w:pPr>
      <w:r>
        <w:t>1 Kontext und Problem</w:t>
      </w:r>
    </w:p>
    <w:p>
      <w:pPr>
        <w:pStyle w:val="ListBullet"/>
        <w:keepLines/>
        <w:widowControl/>
      </w:pPr>
      <w:r>
        <w:t>2 Entscheidung</w:t>
      </w:r>
    </w:p>
    <w:p>
      <w:pPr>
        <w:pStyle w:val="ListBullet"/>
        <w:keepLines/>
        <w:widowControl/>
      </w:pPr>
      <w:r>
        <w:t>3 Umfang, Verantwortung und Grenzen</w:t>
      </w:r>
    </w:p>
    <w:p>
      <w:pPr>
        <w:pStyle w:val="ListBullet"/>
        <w:keepLines/>
        <w:widowControl/>
      </w:pPr>
      <w:r>
        <w:t>4 Verträge und Laufzeitabläufe</w:t>
      </w:r>
    </w:p>
    <w:p>
      <w:pPr>
        <w:pStyle w:val="ListBullet"/>
        <w:keepLines/>
        <w:widowControl/>
      </w:pPr>
      <w:r>
        <w:t>5 Lebenszyklus, Fehler und Wiederherstellung</w:t>
      </w:r>
    </w:p>
    <w:p>
      <w:pPr>
        <w:pStyle w:val="ListBullet"/>
        <w:keepLines/>
        <w:widowControl/>
      </w:pPr>
      <w:r>
        <w:t>6 Sicherheit, Daten und Architekturregeln</w:t>
      </w:r>
    </w:p>
    <w:p>
      <w:pPr>
        <w:pStyle w:val="ListBullet"/>
        <w:keepLines/>
        <w:widowControl/>
      </w:pPr>
      <w:r>
        <w:t>7 Alternativen und Abwägungen</w:t>
      </w:r>
    </w:p>
    <w:p>
      <w:pPr>
        <w:pStyle w:val="ListBullet"/>
        <w:keepLines/>
        <w:widowControl/>
      </w:pPr>
      <w:r>
        <w:t>8 Umsetzung und Prüfung</w:t>
      </w:r>
    </w:p>
    <w:p>
      <w:pPr>
        <w:pStyle w:val="ListBullet"/>
        <w:keepLines/>
        <w:widowControl/>
      </w:pPr>
      <w:r>
        <w:t>9 Nachverfolgbarkeit und Änderungshistorie</w:t>
      </w:r>
    </w:p>
    <w:p>
      <w:pPr>
        <w:widowControl/>
      </w:pPr>
      <w:r>
        <w:br w:type="page"/>
      </w:r>
    </w:p>
    <w:p>
      <w:pPr>
        <w:pStyle w:val="Heading1"/>
        <w:keepNext/>
        <w:widowControl/>
      </w:pPr>
      <w:r>
        <w:t>1 Kontext und Problem</w:t>
      </w:r>
    </w:p>
    <w:p>
      <w:pPr>
        <w:widowControl/>
      </w:pPr>
      <w:r>
        <w:t>World Engine muss Skyrim Plugins erkennen und ein stabiles Plugin Profile erzeugen, ohne nicht vertrauenswürdige Inhalte auszuführen. Consumer Modules benötigen eine einheitliche geprüfte Darstellung der Umgebung.</w:t>
      </w:r>
    </w:p>
    <w:p>
      <w:pPr>
        <w:widowControl/>
      </w:pPr>
      <w:r>
        <w:t>Der Ausdruck Single Source of Detection Truth in der früheren Fassung konnte als Ownership über Game Capability, Restore Compatibility und Configuration Policy verstanden werden. Auch der Detector Lifecycle hatte keinen eindeutigen Process Owner.</w:t>
      </w:r>
    </w:p>
    <w:p>
      <w:pPr>
        <w:pStyle w:val="Heading2"/>
        <w:keepNext/>
        <w:widowControl/>
      </w:pPr>
      <w:r>
        <w:t>Außerhalb des Entscheidungsumfangs</w:t>
      </w:r>
    </w:p>
    <w:p>
      <w:pPr>
        <w:pStyle w:val="ListBullet"/>
        <w:keepLines/>
        <w:widowControl/>
      </w:pPr>
      <w:r>
        <w:t>Ausführung von Plugin Code</w:t>
      </w:r>
    </w:p>
    <w:p>
      <w:pPr>
        <w:pStyle w:val="ListBullet"/>
        <w:keepLines/>
        <w:widowControl/>
      </w:pPr>
      <w:r>
        <w:t>Game Capability Decision</w:t>
      </w:r>
    </w:p>
    <w:p>
      <w:pPr>
        <w:pStyle w:val="ListBullet"/>
        <w:keepLines/>
        <w:widowControl/>
      </w:pPr>
      <w:r>
        <w:t>Save Restore Compatibility Decision</w:t>
      </w:r>
    </w:p>
    <w:p>
      <w:pPr>
        <w:pStyle w:val="ListBullet"/>
        <w:keepLines/>
        <w:widowControl/>
      </w:pPr>
      <w:r>
        <w:t>User Enablement Policy</w:t>
      </w:r>
    </w:p>
    <w:p>
      <w:pPr>
        <w:pStyle w:val="Heading1"/>
        <w:keepNext/>
        <w:widowControl/>
      </w:pPr>
      <w:r>
        <w:t>2 Entscheidung</w:t>
      </w:r>
    </w:p>
    <w:p>
      <w:pPr>
        <w:widowControl/>
      </w:pPr>
      <w:r>
        <w:t>Plugin Registry oder Repository besitzt Discovery, Parsing, Normalization, Validation, Fingerprint und Persisted Baseline erkannter Plugins. Das Ergebnis wird als versionierte unveränderliche Plugin Evidence oder Plugin Profile veröffentlicht.</w:t>
      </w:r>
    </w:p>
    <w:p>
      <w:pPr>
        <w:widowControl/>
      </w:pPr>
      <w:r>
        <w:t>Die Autorität ist auf Discovery und Profile Evidence begrenzt. Game Adapter besitzt Capability Mapping, Save Manager vergleicht Baselines für Restore Compatibility, und Configuration besitzt Enablement Policy.</w:t>
      </w:r>
    </w:p>
    <w:p>
      <w:pPr>
        <w:pStyle w:val="Heading2"/>
        <w:keepNext/>
        <w:widowControl/>
      </w:pPr>
      <w:r>
        <w:t>Verbindliche Regeln</w:t>
      </w:r>
    </w:p>
    <w:p>
      <w:pPr>
        <w:pStyle w:val="ListBullet"/>
        <w:keepLines/>
        <w:widowControl/>
      </w:pPr>
      <w:r>
        <w:t>Host oder Composition Root erzeugt den Detector und steuert Startup, Rescan Wiring und Shutdown.</w:t>
      </w:r>
    </w:p>
    <w:p>
      <w:pPr>
        <w:pStyle w:val="ListBullet"/>
        <w:keepLines/>
        <w:widowControl/>
      </w:pPr>
      <w:r>
        <w:t>Core und Scheduler besitzen den Detector Lifecycle nicht.</w:t>
      </w:r>
    </w:p>
    <w:p>
      <w:pPr>
        <w:pStyle w:val="ListBullet"/>
        <w:keepLines/>
        <w:widowControl/>
      </w:pPr>
      <w:r>
        <w:t>Ein Scheduler Initiated Rescan läuft über einen expliziten Contract oder ein Event ohne Implementation Ownership.</w:t>
      </w:r>
    </w:p>
    <w:p>
      <w:pPr>
        <w:pStyle w:val="ListBullet"/>
        <w:keepLines/>
        <w:widowControl/>
      </w:pPr>
      <w:r>
        <w:t>Consumers scannen Plugin Sources nicht selbst.</w:t>
      </w:r>
    </w:p>
    <w:p>
      <w:pPr>
        <w:pStyle w:val="ListBullet"/>
        <w:keepLines/>
        <w:widowControl/>
      </w:pPr>
      <w:r>
        <w:t>Plugin Metadata gewährt keine Execution Privileges.</w:t>
      </w:r>
    </w:p>
    <w:p>
      <w:pPr>
        <w:pStyle w:val="Heading1"/>
        <w:keepNext/>
        <w:widowControl/>
      </w:pPr>
      <w:r>
        <w:t>3 Umfang, Verantwortung und Grenzen</w:t>
      </w:r>
    </w:p>
    <w:p>
      <w:pPr>
        <w:widowControl/>
      </w:pPr>
      <w:r>
        <w:t>Die Tabelle legt den Eigentümer jeder Aufgabe und die Semantik der Beziehung fest. Ownership wird nicht aus der Richtung eines Laufzeitaufrufs abgeleitet.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Komponente / Grenze</w:t>
            </w:r>
          </w:p>
        </w:tc>
        <w:tc>
          <w:tcPr>
            <w:tcW w:type="dxa" w:w="5472"/>
            <w:vAlign w:val="center"/>
            <w:tcMar>
              <w:top w:w="90" w:type="dxa"/>
              <w:start w:w="110" w:type="dxa"/>
              <w:bottom w:w="90" w:type="dxa"/>
              <w:end w:w="110" w:type="dxa"/>
            </w:tcMar>
            <w:shd w:fill="17324D"/>
          </w:tcPr>
          <w:p>
            <w:pPr>
              <w:spacing w:after="0" w:line="240" w:lineRule="auto"/>
            </w:pPr>
            <w:r>
              <w:rPr>
                <w:rFonts w:ascii="Arial" w:hAnsi="Arial"/>
                <w:b/>
                <w:color w:val="FFFFFF"/>
                <w:sz w:val="16"/>
              </w:rPr>
              <w:t>Verantwortung</w:t>
            </w:r>
          </w:p>
        </w:tc>
        <w:tc>
          <w:tcPr>
            <w:tcW w:type="dxa" w:w="1800"/>
            <w:vAlign w:val="center"/>
            <w:tcMar>
              <w:top w:w="90" w:type="dxa"/>
              <w:start w:w="110" w:type="dxa"/>
              <w:bottom w:w="90" w:type="dxa"/>
              <w:end w:w="110" w:type="dxa"/>
            </w:tcMar>
            <w:shd w:fill="17324D"/>
          </w:tcPr>
          <w:p>
            <w:pPr>
              <w:spacing w:after="0" w:line="240" w:lineRule="auto"/>
            </w:pPr>
            <w:r>
              <w:rPr>
                <w:rFonts w:ascii="Arial" w:hAnsi="Arial"/>
                <w:b/>
                <w:color w:val="FFFFFF"/>
                <w:sz w:val="16"/>
              </w:rPr>
              <w:t>Semantik</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Host</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Detector Construction und Lifecycle</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Lifecycle Wiring</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Plugin Detector</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Source Discovery und Extraction</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Plugin Registry</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Normalization, Validation und Evidence Version</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Game Adapter</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Capability und Support Mapping</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Save Manager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Restore Compatibility</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Configuration</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Enablement und Policy</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Consumer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Entscheidung des eigenen Use Case anhand Evidence</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bl>
    <w:p>
      <w:pPr>
        <w:widowControl/>
        <w:spacing w:after="40"/>
      </w:pPr>
    </w:p>
    <w:p>
      <w:pPr>
        <w:pStyle w:val="Heading1"/>
        <w:keepNext/>
        <w:widowControl/>
      </w:pPr>
      <w:r>
        <w:t>4 Verträge und Laufzeitabläufe</w:t>
      </w:r>
    </w:p>
    <w:p>
      <w:pPr>
        <w:widowControl/>
      </w:pPr>
      <w:r>
        <w:t>Jeder Ablauf benennt die Art der Beziehung und erzeugt keine zusätzlichen versteckten Abhängigkeiten.</w:t>
      </w:r>
    </w:p>
    <w:p>
      <w:pPr>
        <w:pStyle w:val="CodePath"/>
        <w:widowControl/>
      </w:pPr>
      <w:r>
        <w:t>Lifecycle Wiring: Host erzeugt und startet den Detector.</w:t>
      </w:r>
    </w:p>
    <w:p>
      <w:pPr>
        <w:pStyle w:val="CodePath"/>
        <w:widowControl/>
      </w:pPr>
      <w:r>
        <w:t>Data Flow: Plugin Sources zu Parser zu normalisierter Plugin Evidence.</w:t>
      </w:r>
    </w:p>
    <w:p>
      <w:pPr>
        <w:pStyle w:val="CodePath"/>
        <w:widowControl/>
      </w:pPr>
      <w:r>
        <w:t>Persistence Data Flow: Validierte Evidence zur Persisted Baseline.</w:t>
      </w:r>
    </w:p>
    <w:p>
      <w:pPr>
        <w:pStyle w:val="CodePath"/>
        <w:widowControl/>
      </w:pPr>
      <w:r>
        <w:t>Event Relation: PluginProfileChanged kann Consumers über Event Engine informieren.</w:t>
      </w:r>
    </w:p>
    <w:p>
      <w:pPr>
        <w:pStyle w:val="CodePath"/>
        <w:widowControl/>
      </w:pPr>
      <w:r>
        <w:t>Laufzeitaufruf: Game Adapter ordnet Evidence Capabilities zu.</w:t>
      </w:r>
    </w:p>
    <w:p>
      <w:pPr>
        <w:pStyle w:val="CodePath"/>
        <w:widowControl/>
      </w:pPr>
      <w:r>
        <w:t>Laufzeitaufruf: Save Manager vergleicht Save Baseline mit aktueller Evidence.</w:t>
      </w:r>
    </w:p>
    <w:p>
      <w:pPr>
        <w:pStyle w:val="Heading1"/>
        <w:keepNext/>
        <w:widowControl/>
      </w:pPr>
      <w:r>
        <w:t>5 Lebenszyklus, Fehler und Wiederherstellung</w:t>
      </w:r>
    </w:p>
    <w:p>
      <w:pPr>
        <w:pStyle w:val="ListBullet"/>
        <w:keepLines/>
        <w:widowControl/>
      </w:pPr>
      <w:r>
        <w:t>Startup Scan erzeugt ein Candidate Profile und publiziert es erst nach vollständiger Validation.</w:t>
      </w:r>
    </w:p>
    <w:p>
      <w:pPr>
        <w:pStyle w:val="ListBullet"/>
        <w:keepLines/>
        <w:widowControl/>
      </w:pPr>
      <w:r>
        <w:t>Ein validiertes Profil erhält Version und Fingerprint und wird Current Evidence.</w:t>
      </w:r>
    </w:p>
    <w:p>
      <w:pPr>
        <w:pStyle w:val="ListBullet"/>
        <w:keepLines/>
        <w:widowControl/>
      </w:pPr>
      <w:r>
        <w:t>Rescan vergleicht aktuelle Sources mit der Baseline und erzeugt einen neuen Candidate.</w:t>
      </w:r>
    </w:p>
    <w:p>
      <w:pPr>
        <w:pStyle w:val="ListBullet"/>
        <w:keepLines/>
        <w:widowControl/>
      </w:pPr>
      <w:r>
        <w:t>Parse Failure behält das vorherige gültige Profil und publiziert Degraded Evidence.</w:t>
      </w:r>
    </w:p>
    <w:p>
      <w:pPr>
        <w:pStyle w:val="ListBullet"/>
        <w:keepLines/>
        <w:widowControl/>
      </w:pPr>
      <w:r>
        <w:t>Source Change während des Scans führt zu Retry oder Invalid Candidate und nicht zu einem Mixed Profile.</w:t>
      </w:r>
    </w:p>
    <w:p>
      <w:pPr>
        <w:pStyle w:val="ListBullet"/>
        <w:keepLines/>
        <w:widowControl/>
      </w:pPr>
      <w:r>
        <w:t>Shutdown stoppt Watchers und beendet einen aktiven begrenzten Scan.</w:t>
      </w:r>
    </w:p>
    <w:p>
      <w:pPr>
        <w:pStyle w:val="Heading1"/>
        <w:keepNext/>
        <w:widowControl/>
      </w:pPr>
      <w:r>
        <w:t>6 Sicherheit, Daten und Architekturregeln</w:t>
      </w:r>
    </w:p>
    <w:p>
      <w:pPr>
        <w:pStyle w:val="Heading2"/>
        <w:keepNext/>
        <w:widowControl/>
      </w:pPr>
      <w:r>
        <w:t>Verbindliche Architekturregeln</w:t>
      </w:r>
    </w:p>
    <w:p>
      <w:pPr>
        <w:pStyle w:val="ListBullet"/>
        <w:keepLines/>
        <w:widowControl/>
      </w:pPr>
      <w:r>
        <w:t>Plugin Content ist immer Untrusted Input.</w:t>
      </w:r>
    </w:p>
    <w:p>
      <w:pPr>
        <w:pStyle w:val="ListBullet"/>
        <w:keepLines/>
        <w:widowControl/>
      </w:pPr>
      <w:r>
        <w:t>Detection führt keine Scripts oder Binaries aus.</w:t>
      </w:r>
    </w:p>
    <w:p>
      <w:pPr>
        <w:pStyle w:val="ListBullet"/>
        <w:keepLines/>
        <w:widowControl/>
      </w:pPr>
      <w:r>
        <w:t>Evidence enthält Provenance und Normalization Version.</w:t>
      </w:r>
    </w:p>
    <w:p>
      <w:pPr>
        <w:pStyle w:val="ListBullet"/>
        <w:keepLines/>
        <w:widowControl/>
      </w:pPr>
      <w:r>
        <w:t>Es gibt kein globales Compatibility Boolean.</w:t>
      </w:r>
    </w:p>
    <w:p>
      <w:pPr>
        <w:pStyle w:val="ListBullet"/>
        <w:keepLines/>
        <w:widowControl/>
      </w:pPr>
      <w:r>
        <w:t>Consumers verwenden eine publizierte Version und keinen File System Scan.</w:t>
      </w:r>
    </w:p>
    <w:p>
      <w:pPr>
        <w:pStyle w:val="ListBullet"/>
        <w:keepLines/>
        <w:widowControl/>
      </w:pPr>
      <w:r>
        <w:t>Failed Scan ersetzt nicht die letzte gültige Evidence.</w:t>
      </w:r>
    </w:p>
    <w:p>
      <w:pPr>
        <w:pStyle w:val="Heading1"/>
        <w:keepNext/>
        <w:widowControl/>
      </w:pPr>
      <w:r>
        <w:t>7 Alternativen und Abwägungen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880"/>
            <w:vAlign w:val="center"/>
            <w:tcMar>
              <w:top w:w="90" w:type="dxa"/>
              <w:start w:w="110" w:type="dxa"/>
              <w:bottom w:w="90" w:type="dxa"/>
              <w:end w:w="110" w:type="dxa"/>
            </w:tcMar>
            <w:shd w:fill="17324D"/>
          </w:tcPr>
          <w:p>
            <w:pPr>
              <w:spacing w:after="0" w:line="240" w:lineRule="auto"/>
            </w:pPr>
            <w:r>
              <w:rPr>
                <w:rFonts w:ascii="Arial" w:hAnsi="Arial"/>
                <w:b/>
                <w:color w:val="FFFFFF"/>
                <w:sz w:val="16"/>
              </w:rPr>
              <w:t>Alternative</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Ergebnis</w:t>
            </w:r>
          </w:p>
        </w:tc>
        <w:tc>
          <w:tcPr>
            <w:tcW w:type="dxa" w:w="5184"/>
            <w:vAlign w:val="center"/>
            <w:tcMar>
              <w:top w:w="90" w:type="dxa"/>
              <w:start w:w="110" w:type="dxa"/>
              <w:bottom w:w="90" w:type="dxa"/>
              <w:end w:w="110" w:type="dxa"/>
            </w:tcMar>
            <w:shd w:fill="17324D"/>
          </w:tcPr>
          <w:p>
            <w:pPr>
              <w:spacing w:after="0" w:line="240" w:lineRule="auto"/>
            </w:pPr>
            <w:r>
              <w:rPr>
                <w:rFonts w:ascii="Arial" w:hAnsi="Arial"/>
                <w:b/>
                <w:color w:val="FFFFFF"/>
                <w:sz w:val="16"/>
              </w:rPr>
              <w:t>Begründung</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Consumers scannen selbst</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Erzeugt Abweichungen und wiederholte Last.</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Globales Compatibility Flag</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Vermischt unterschiedliche Ownership Decisions.</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Metadata gewährt Ausführung</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Verletzt die Security Boundary.</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Core besitzt den Detector</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Erzeugt falsches Lifecycle Ownership.</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Versionierte Evidence mit getrennten Entscheidungen</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Gewählt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Bewahrt eine gemeinsame Erkennungsbasis und korrekte Grenzen.</w:t>
            </w:r>
          </w:p>
        </w:tc>
      </w:tr>
    </w:tbl>
    <w:p>
      <w:pPr>
        <w:widowControl/>
        <w:spacing w:after="40"/>
      </w:pPr>
    </w:p>
    <w:p>
      <w:pPr>
        <w:pStyle w:val="Heading2"/>
        <w:keepNext/>
        <w:widowControl/>
      </w:pPr>
      <w:r>
        <w:t>Akzeptierte Abwägungen</w:t>
      </w:r>
    </w:p>
    <w:p>
      <w:pPr>
        <w:pStyle w:val="ListBullet"/>
        <w:keepLines/>
        <w:widowControl/>
      </w:pPr>
      <w:r>
        <w:t>Normalization und Fingerprint erhöhen die Startup Kosten; der Scan muss daher begrenzt und cachefähig sein.</w:t>
      </w:r>
    </w:p>
    <w:p>
      <w:pPr>
        <w:pStyle w:val="ListBullet"/>
        <w:keepLines/>
        <w:widowControl/>
      </w:pPr>
      <w:r>
        <w:t>Getrennte Entscheidungen benötigen mehrere Contracts, verhindern aber eine falsche globale Wahrheit.</w:t>
      </w:r>
    </w:p>
    <w:p>
      <w:pPr>
        <w:pStyle w:val="Heading1"/>
        <w:keepNext/>
        <w:widowControl/>
      </w:pPr>
      <w:r>
        <w:t>8 Umsetzung und Prüfung</w:t>
      </w:r>
    </w:p>
    <w:p>
      <w:pPr>
        <w:pStyle w:val="Heading2"/>
        <w:keepNext/>
        <w:widowControl/>
      </w:pPr>
      <w:r>
        <w:t>Anforderungen an die Umsetzung</w:t>
      </w:r>
    </w:p>
    <w:p>
      <w:pPr>
        <w:pStyle w:val="ListBullet"/>
        <w:keepLines/>
        <w:widowControl/>
      </w:pPr>
      <w:r>
        <w:t>Detector Input Adapter isolieren File System und Game Specific Formats.</w:t>
      </w:r>
    </w:p>
    <w:p>
      <w:pPr>
        <w:pStyle w:val="ListBullet"/>
        <w:keepLines/>
        <w:widowControl/>
      </w:pPr>
      <w:r>
        <w:t>Das Profile Schema wird unabhängig von Consumer Contracts versioniert.</w:t>
      </w:r>
    </w:p>
    <w:p>
      <w:pPr>
        <w:pStyle w:val="ListBullet"/>
        <w:keepLines/>
        <w:widowControl/>
      </w:pPr>
      <w:r>
        <w:t>Der Fingerprint entsteht deterministisch aus normalisierter Evidence.</w:t>
      </w:r>
    </w:p>
    <w:p>
      <w:pPr>
        <w:pStyle w:val="ListBullet"/>
        <w:keepLines/>
        <w:widowControl/>
      </w:pPr>
      <w:r>
        <w:t>Watchers lösen nur Rescan aus und ändern Profile nicht direkt.</w:t>
      </w:r>
    </w:p>
    <w:p>
      <w:pPr>
        <w:pStyle w:val="ListBullet"/>
        <w:keepLines/>
        <w:widowControl/>
      </w:pPr>
      <w:r>
        <w:t>Compatibility API gehört Save Manager; Capability API gehört Game Adapter.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3240"/>
            <w:vAlign w:val="center"/>
            <w:tcMar>
              <w:top w:w="90" w:type="dxa"/>
              <w:start w:w="110" w:type="dxa"/>
              <w:bottom w:w="90" w:type="dxa"/>
              <w:end w:w="110" w:type="dxa"/>
            </w:tcMar>
            <w:shd w:fill="17324D"/>
          </w:tcPr>
          <w:p>
            <w:pPr>
              <w:spacing w:after="0" w:line="240" w:lineRule="auto"/>
            </w:pPr>
            <w:r>
              <w:rPr>
                <w:rFonts w:ascii="Arial" w:hAnsi="Arial"/>
                <w:b/>
                <w:color w:val="FFFFFF"/>
                <w:sz w:val="16"/>
              </w:rPr>
              <w:t>Prüfung</w:t>
            </w:r>
          </w:p>
        </w:tc>
        <w:tc>
          <w:tcPr>
            <w:tcW w:type="dxa" w:w="6552"/>
            <w:vAlign w:val="center"/>
            <w:tcMar>
              <w:top w:w="90" w:type="dxa"/>
              <w:start w:w="110" w:type="dxa"/>
              <w:bottom w:w="90" w:type="dxa"/>
              <w:end w:w="110" w:type="dxa"/>
            </w:tcMar>
            <w:shd w:fill="17324D"/>
          </w:tcPr>
          <w:p>
            <w:pPr>
              <w:spacing w:after="0" w:line="240" w:lineRule="auto"/>
            </w:pPr>
            <w:r>
              <w:rPr>
                <w:rFonts w:ascii="Arial" w:hAnsi="Arial"/>
                <w:b/>
                <w:color w:val="FFFFFF"/>
                <w:sz w:val="16"/>
              </w:rPr>
              <w:t>PASS Bedingung</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Determinismus</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Gleiche Sources ergeben gleichen Fingerprint</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Security</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Keine Execution aus Metadata</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Detector trifft keine Capability oder Compatibility Decisions</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Failure</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Das letzte gültige Profil bleibt erhalten</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Lifecycle</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Der Host besitzt Start und Stop</w:t>
            </w:r>
          </w:p>
        </w:tc>
      </w:tr>
    </w:tbl>
    <w:p>
      <w:pPr>
        <w:widowControl/>
        <w:spacing w:after="40"/>
      </w:pPr>
    </w:p>
    <w:p>
      <w:pPr>
        <w:pStyle w:val="Heading1"/>
        <w:keepNext/>
        <w:widowControl/>
      </w:pPr>
      <w:r>
        <w:t>9 Nachverfolgbarkeit und Änderungshistorie</w:t>
      </w:r>
    </w:p>
    <w:p>
      <w:pPr>
        <w:pStyle w:val="Heading2"/>
        <w:keepNext/>
        <w:widowControl/>
      </w:pPr>
      <w:r>
        <w:t>Verknüpfte Dokumente</w:t>
      </w:r>
    </w:p>
    <w:p>
      <w:pPr>
        <w:pStyle w:val="ListBullet"/>
        <w:keepLines/>
        <w:widowControl/>
      </w:pPr>
      <w:r>
        <w:t>ADR-008</w:t>
      </w:r>
    </w:p>
    <w:p>
      <w:pPr>
        <w:pStyle w:val="ListBullet"/>
        <w:keepLines/>
        <w:widowControl/>
      </w:pPr>
      <w:r>
        <w:t>ARCH-009 v1.1</w:t>
      </w:r>
    </w:p>
    <w:p>
      <w:pPr>
        <w:pStyle w:val="ListBullet"/>
        <w:keepLines/>
        <w:widowControl/>
      </w:pPr>
      <w:r>
        <w:t>ARCH-010 v1.1</w:t>
      </w:r>
    </w:p>
    <w:p>
      <w:pPr>
        <w:pStyle w:val="ListBullet"/>
        <w:keepLines/>
        <w:widowControl/>
      </w:pPr>
      <w:r>
        <w:t>ARCH-011 v1.1</w:t>
      </w:r>
    </w:p>
    <w:p>
      <w:pPr>
        <w:pStyle w:val="ListBullet"/>
        <w:keepLines/>
        <w:widowControl/>
      </w:pPr>
      <w:r>
        <w:t>AUDIT-007</w:t>
      </w:r>
    </w:p>
    <w:p>
      <w:pPr>
        <w:pStyle w:val="ListBullet"/>
        <w:keepLines/>
        <w:widowControl/>
      </w:pPr>
      <w:r>
        <w:t>AUDIT-025</w:t>
      </w:r>
    </w:p>
    <w:p>
      <w:pPr>
        <w:pStyle w:val="ListBullet"/>
        <w:keepLines/>
        <w:widowControl/>
      </w:pPr>
      <w:r>
        <w:t>AUDIT-028</w:t>
      </w:r>
    </w:p>
    <w:p>
      <w:pPr>
        <w:pStyle w:val="Heading2"/>
        <w:keepNext/>
        <w:widowControl/>
      </w:pPr>
      <w:r>
        <w:t>Änderungshistorie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1152"/>
            <w:vAlign w:val="center"/>
            <w:tcMar>
              <w:top w:w="90" w:type="dxa"/>
              <w:start w:w="110" w:type="dxa"/>
              <w:bottom w:w="90" w:type="dxa"/>
              <w:end w:w="110" w:type="dxa"/>
            </w:tcMar>
            <w:shd w:fill="17324D"/>
          </w:tcPr>
          <w:p>
            <w:pPr>
              <w:spacing w:after="0" w:line="240" w:lineRule="auto"/>
            </w:pPr>
            <w:r>
              <w:rPr>
                <w:rFonts w:ascii="Arial" w:hAnsi="Arial"/>
                <w:b/>
                <w:color w:val="FFFFFF"/>
                <w:sz w:val="16"/>
              </w:rPr>
              <w:t>Version</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Datum</w:t>
            </w:r>
          </w:p>
        </w:tc>
        <w:tc>
          <w:tcPr>
            <w:tcW w:type="dxa" w:w="6912"/>
            <w:vAlign w:val="center"/>
            <w:tcMar>
              <w:top w:w="90" w:type="dxa"/>
              <w:start w:w="110" w:type="dxa"/>
              <w:bottom w:w="90" w:type="dxa"/>
              <w:end w:w="110" w:type="dxa"/>
            </w:tcMar>
            <w:shd w:fill="17324D"/>
          </w:tcPr>
          <w:p>
            <w:pPr>
              <w:spacing w:after="0" w:line="240" w:lineRule="auto"/>
            </w:pPr>
            <w:r>
              <w:rPr>
                <w:rFonts w:ascii="Arial" w:hAnsi="Arial"/>
                <w:b/>
                <w:color w:val="FFFFFF"/>
                <w:sz w:val="16"/>
              </w:rPr>
              <w:t>Änderung</w:t>
            </w:r>
          </w:p>
        </w:tc>
      </w:tr>
      <w:tr>
        <w:trPr>
          <w:cantSplit/>
        </w:trPr>
        <w:tc>
          <w:tcPr>
            <w:tcW w:type="dxa" w:w="11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v1.0</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2026-08-13</w:t>
            </w:r>
          </w:p>
        </w:tc>
        <w:tc>
          <w:tcPr>
            <w:tcW w:type="dxa" w:w="6912"/>
            <w:vAlign w:val="center"/>
            <w:tcMar>
              <w:top w:w="90" w:type="dxa"/>
              <w:start w:w="110" w:type="dxa"/>
              <w:bottom w:w="90" w:type="dxa"/>
              <w:end w:w="110" w:type="dxa"/>
            </w:tcMar>
            <w:shd w:fill="FFFFFF"/>
          </w:tcPr>
          <w:p>
            <w:pPr>
              <w:spacing w:after="0" w:line="240" w:lineRule="auto"/>
            </w:pPr>
            <w:r>
              <w:rPr>
                <w:rFonts w:ascii="Arial" w:hAnsi="Arial"/>
                <w:b w:val="0"/>
                <w:color w:val="000000"/>
                <w:sz w:val="16"/>
              </w:rPr>
              <w:t>Historical complete edition</w:t>
            </w:r>
          </w:p>
        </w:tc>
      </w:tr>
      <w:tr>
        <w:trPr>
          <w:cantSplit/>
        </w:trPr>
        <w:tc>
          <w:tcPr>
            <w:tcW w:type="dxa" w:w="11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c>
          <w:tcPr>
            <w:tcW w:type="dxa" w:w="691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Vollständige konsolidierte Fassung erstellt. Semantische Korrekturen sind in den Haupttext integriert; wiederholte Titelblöcke, mehrdeutige Diagramme und zu dichte Tabellen der alten Fassung wurden entfernt.</w:t>
            </w:r>
          </w:p>
        </w:tc>
      </w:tr>
    </w:tbl>
    <w:p>
      <w:pPr>
        <w:widowControl/>
        <w:spacing w:after="40"/>
      </w:pPr>
    </w:p>
    <w:sectPr w:rsidR="00FC693F" w:rsidRPr="0006063C" w:rsidSect="00034616">
      <w:headerReference w:type="default" r:id="rId9"/>
      <w:footerReference w:type="default" r:id="rId10"/>
      <w:pgSz w:w="11906" w:h="16838"/>
      <w:pgMar w:top="907" w:right="1020" w:bottom="907"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ADR-006   DE   v2.0   </w:t>
    </w:r>
    <w:r>
      <w:rPr>
        <w:rFonts w:ascii="Arial" w:hAnsi="Arial"/>
        <w:sz w:val="16"/>
      </w:rPr>
      <w:fldChar w:fldCharType="begin"/>
      <w:instrText xml:space="preserve"> PAGE </w:instrText>
      <w:fldChar w:fldCharType="separate"/>
      <w:t>1</w:t>
      <w:fldChar w:fldCharType="end"/>
    </w:r>
    <w:r>
      <w:rPr>
        <w:sz w:val="16"/>
      </w:rPr>
      <w:t xml:space="preserve"> / </w:t>
    </w:r>
    <w:r>
      <w:rPr>
        <w:rFonts w:ascii="Arial" w:hAnsi="Arial"/>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World Engine   ADR-006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Arial"/>
      <w:b w:val="0"/>
      <w:i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80"/>
      <w:contextualSpacing/>
      <w:jc w:val="center"/>
    </w:pPr>
    <w:rPr>
      <w:rFonts w:asciiTheme="majorHAnsi" w:eastAsiaTheme="majorEastAsia" w:hAnsiTheme="majorHAnsi" w:cstheme="majorBidi" w:ascii="Arial" w:hAnsi="Arial" w:eastAsia="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Arial" w:hAnsi="Arial" w:eastAsia="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Arial" w:hAnsi="Arial" w:eastAsia="Arial"/>
      <w:b w:val="0"/>
      <w:i w:val="0"/>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keepLines/>
      <w:spacing w:before="40" w:after="60"/>
      <w:ind w:left="312"/>
    </w:pPr>
    <w:rPr>
      <w:rFonts w:ascii="Consolas" w:hAnsi="Consolas" w:eastAsia="Consolas"/>
      <w:b w:val="0"/>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ADR-006 Plugin Erkennung</dc:title>
  <dc:subject>World Engine architecture decision v2.0</dc:subject>
  <dc:creator>Andrii Drahulskyi</dc:creator>
  <cp:keywords>World Engine, ADR, architecture, audited, consolidated</cp:keywords>
  <dc:description>Full consolidated architecture-audited edition</dc:description>
  <cp:lastModifiedBy/>
  <cp:revision>1</cp:revision>
  <dcterms:created xsi:type="dcterms:W3CDTF">2013-12-23T23:15:00Z</dcterms:created>
  <dcterms:modified xsi:type="dcterms:W3CDTF">2013-12-23T23:15:00Z</dcterms:modified>
  <cp:category/>
</cp:coreProperties>
</file>