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00"/>
        <w:jc w:val="center"/>
      </w:pPr>
      <w:r>
        <w:rPr>
          <w:rFonts w:ascii="Arial" w:hAnsi="Arial"/>
          <w:b/>
          <w:color w:val="17324D"/>
          <w:sz w:val="18"/>
        </w:rPr>
        <w:t>ARCHITECTURE DECISION RECORD</w:t>
      </w:r>
    </w:p>
    <w:p>
      <w:pPr>
        <w:pStyle w:val="Title"/>
        <w:widowControl/>
      </w:pPr>
      <w:r>
        <w:t>ADR 007 Unterstützung mehrerer Spiele</w:t>
      </w:r>
    </w:p>
    <w:p>
      <w:pPr>
        <w:pStyle w:val="Subtitle"/>
        <w:widowControl/>
      </w:pPr>
      <w:r>
        <w:t>World Engine Architekturentscheidung</w:t>
      </w:r>
    </w:p>
    <w:p>
      <w:pPr>
        <w:pStyle w:val="Heading2"/>
        <w:keepNext/>
        <w:widowControl/>
      </w:pPr>
      <w:r>
        <w:t>Entscheidung im Überblick</w:t>
      </w:r>
    </w:p>
    <w:p>
      <w:pPr>
        <w:widowControl/>
        <w:spacing w:after="160"/>
      </w:pPr>
      <w:r>
        <w:t>Ein Game Agnostic Core arbeitet über Game Profile und Game Adapter mit einer konkreten Game Runtime. Game Ingress Port nimmt normalisierte Eingaben an; Game Output oder Capability Port stellt erlaubte Aktionen und Abfragen bereit. Der Runtime Flow darf bidirektional sein, ohne zyklische Implementation Dependency.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cantSplit/>
          <w:tblHeader w:val="true"/>
        </w:trPr>
        <w:tc>
          <w:tcPr>
            <w:tcW w:type="dxa" w:w="2520"/>
            <w:vAlign w:val="center"/>
            <w:tcMar>
              <w:top w:w="90" w:type="dxa"/>
              <w:start w:w="110" w:type="dxa"/>
              <w:bottom w:w="90" w:type="dxa"/>
              <w:end w:w="110" w:type="dxa"/>
            </w:tcMar>
            <w:shd w:fill="17324D"/>
          </w:tcPr>
          <w:p>
            <w:pPr>
              <w:spacing w:after="0" w:line="240" w:lineRule="auto"/>
            </w:pPr>
            <w:r>
              <w:rPr>
                <w:rFonts w:ascii="Arial" w:hAnsi="Arial"/>
                <w:b/>
                <w:color w:val="FFFFFF"/>
                <w:sz w:val="16"/>
              </w:rPr>
              <w:t>Field</w:t>
            </w:r>
          </w:p>
        </w:tc>
        <w:tc>
          <w:tcPr>
            <w:tcW w:type="dxa" w:w="7272"/>
            <w:vAlign w:val="center"/>
            <w:tcMar>
              <w:top w:w="90" w:type="dxa"/>
              <w:start w:w="110" w:type="dxa"/>
              <w:bottom w:w="90" w:type="dxa"/>
              <w:end w:w="110" w:type="dxa"/>
            </w:tcMar>
            <w:shd w:fill="17324D"/>
          </w:tcPr>
          <w:p>
            <w:pPr>
              <w:spacing w:after="0" w:line="240" w:lineRule="auto"/>
            </w:pPr>
            <w:r>
              <w:rPr>
                <w:rFonts w:ascii="Arial" w:hAnsi="Arial"/>
                <w:b/>
                <w:color w:val="FFFFFF"/>
                <w:sz w:val="16"/>
              </w:rPr>
              <w:t>Value</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Dokument</w:t>
            </w:r>
          </w:p>
        </w:tc>
        <w:tc>
          <w:tcPr>
            <w:tcW w:type="dxa" w:w="72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ADR-007</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Version</w:t>
            </w:r>
          </w:p>
        </w:tc>
        <w:tc>
          <w:tcPr>
            <w:tcW w:type="dxa" w:w="72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v2.0</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Status</w:t>
            </w:r>
          </w:p>
        </w:tc>
        <w:tc>
          <w:tcPr>
            <w:tcW w:type="dxa" w:w="72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Accepted — Architecture Audited</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Sprache</w:t>
            </w:r>
          </w:p>
        </w:tc>
        <w:tc>
          <w:tcPr>
            <w:tcW w:type="dxa" w:w="72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DE</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Geltungsbereich</w:t>
            </w:r>
          </w:p>
        </w:tc>
        <w:tc>
          <w:tcPr>
            <w:tcW w:type="dxa" w:w="72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World Engine Version 1.x</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Datum</w:t>
            </w:r>
          </w:p>
        </w:tc>
        <w:tc>
          <w:tcPr>
            <w:tcW w:type="dxa" w:w="72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2026-09-04</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Autor</w:t>
            </w:r>
          </w:p>
        </w:tc>
        <w:tc>
          <w:tcPr>
            <w:tcW w:type="dxa" w:w="72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Andrii Drahulskyi</w:t>
            </w:r>
          </w:p>
        </w:tc>
      </w:tr>
    </w:tbl>
    <w:p>
      <w:pPr>
        <w:widowControl/>
        <w:spacing w:after="40"/>
      </w:pPr>
    </w:p>
    <w:p>
      <w:pPr>
        <w:pStyle w:val="Heading2"/>
        <w:keepNext/>
        <w:widowControl/>
      </w:pPr>
      <w:r>
        <w:t>Inhalt</w:t>
      </w:r>
    </w:p>
    <w:p>
      <w:pPr>
        <w:pStyle w:val="ListBullet"/>
        <w:keepLines/>
        <w:widowControl/>
      </w:pPr>
      <w:r>
        <w:t>1 Kontext und Problem</w:t>
      </w:r>
    </w:p>
    <w:p>
      <w:pPr>
        <w:pStyle w:val="ListBullet"/>
        <w:keepLines/>
        <w:widowControl/>
      </w:pPr>
      <w:r>
        <w:t>2 Entscheidung</w:t>
      </w:r>
    </w:p>
    <w:p>
      <w:pPr>
        <w:pStyle w:val="ListBullet"/>
        <w:keepLines/>
        <w:widowControl/>
      </w:pPr>
      <w:r>
        <w:t>3 Umfang, Verantwortung und Grenzen</w:t>
      </w:r>
    </w:p>
    <w:p>
      <w:pPr>
        <w:pStyle w:val="ListBullet"/>
        <w:keepLines/>
        <w:widowControl/>
      </w:pPr>
      <w:r>
        <w:t>4 Verträge und Laufzeitabläufe</w:t>
      </w:r>
    </w:p>
    <w:p>
      <w:pPr>
        <w:pStyle w:val="ListBullet"/>
        <w:keepLines/>
        <w:widowControl/>
      </w:pPr>
      <w:r>
        <w:t>5 Lebenszyklus, Fehler und Wiederherstellung</w:t>
      </w:r>
    </w:p>
    <w:p>
      <w:pPr>
        <w:pStyle w:val="ListBullet"/>
        <w:keepLines/>
        <w:widowControl/>
      </w:pPr>
      <w:r>
        <w:t>6 Sicherheit, Daten und Architekturregeln</w:t>
      </w:r>
    </w:p>
    <w:p>
      <w:pPr>
        <w:pStyle w:val="ListBullet"/>
        <w:keepLines/>
        <w:widowControl/>
      </w:pPr>
      <w:r>
        <w:t>7 Alternativen und Abwägungen</w:t>
      </w:r>
    </w:p>
    <w:p>
      <w:pPr>
        <w:pStyle w:val="ListBullet"/>
        <w:keepLines/>
        <w:widowControl/>
      </w:pPr>
      <w:r>
        <w:t>8 Umsetzung und Prüfung</w:t>
      </w:r>
    </w:p>
    <w:p>
      <w:pPr>
        <w:pStyle w:val="ListBullet"/>
        <w:keepLines/>
        <w:widowControl/>
      </w:pPr>
      <w:r>
        <w:t>9 Nachverfolgbarkeit und Änderungshistorie</w:t>
      </w:r>
    </w:p>
    <w:p>
      <w:pPr>
        <w:widowControl/>
      </w:pPr>
      <w:r>
        <w:br w:type="page"/>
      </w:r>
    </w:p>
    <w:p>
      <w:pPr>
        <w:pStyle w:val="Heading1"/>
        <w:keepNext/>
        <w:widowControl/>
      </w:pPr>
      <w:r>
        <w:t>1 Kontext und Problem</w:t>
      </w:r>
    </w:p>
    <w:p>
      <w:pPr>
        <w:widowControl/>
      </w:pPr>
      <w:r>
        <w:t>World Engine beginnt mit Skyrim, doch das gemeinsame Simulationsmodell darf weder vom Skyrim SDK noch von dessen Formaten abhängen. Ein neues Spiel soll über eine eigene Integration Boundary ohne Fork des Core angebunden werden.</w:t>
      </w:r>
    </w:p>
    <w:p>
      <w:pPr>
        <w:widowControl/>
      </w:pPr>
      <w:r>
        <w:t>Die frühere Fassung sagte, Core verwende den Contract des Game Adapters, während andere Diagramme Game Adapter zu Core zeigten. Ohne Port Ownership wirkte dies wie ein statischer Zyklus und vermischte Runtime Direction mit Source Dependency.</w:t>
      </w:r>
    </w:p>
    <w:p>
      <w:pPr>
        <w:pStyle w:val="Heading2"/>
        <w:keepNext/>
        <w:widowControl/>
      </w:pPr>
      <w:r>
        <w:t>Außerhalb des Entscheidungsumfangs</w:t>
      </w:r>
    </w:p>
    <w:p>
      <w:pPr>
        <w:pStyle w:val="ListBullet"/>
        <w:keepLines/>
        <w:widowControl/>
      </w:pPr>
      <w:r>
        <w:t>Gleichzeitige aktive Sessions mehrerer Spiele in v1.x</w:t>
      </w:r>
    </w:p>
    <w:p>
      <w:pPr>
        <w:pStyle w:val="ListBullet"/>
        <w:keepLines/>
        <w:widowControl/>
      </w:pPr>
      <w:r>
        <w:t>Automatische Portabilität des gesamten State</w:t>
      </w:r>
    </w:p>
    <w:p>
      <w:pPr>
        <w:pStyle w:val="ListBullet"/>
        <w:keepLines/>
        <w:widowControl/>
      </w:pPr>
      <w:r>
        <w:t>Allgemeine Lowest Common Denominator API</w:t>
      </w:r>
    </w:p>
    <w:p>
      <w:pPr>
        <w:pStyle w:val="ListBullet"/>
        <w:keepLines/>
        <w:widowControl/>
      </w:pPr>
      <w:r>
        <w:t>Game Specific Logic in Domain Modules</w:t>
      </w:r>
    </w:p>
    <w:p>
      <w:pPr>
        <w:pStyle w:val="Heading1"/>
        <w:keepNext/>
        <w:widowControl/>
      </w:pPr>
      <w:r>
        <w:t>2 Entscheidung</w:t>
      </w:r>
    </w:p>
    <w:p>
      <w:pPr>
        <w:widowControl/>
      </w:pPr>
      <w:r>
        <w:t>Jedes unterstützte Spiel besitzt Game Profile und Game Adapter. Der Adapter übersetzt Game Specific Observations, Events, Commands, Actions und Capabilities in normalisierte World Engine Contracts.</w:t>
      </w:r>
    </w:p>
    <w:p>
      <w:pPr>
        <w:widowControl/>
      </w:pPr>
      <w:r>
        <w:t>Game Ingress Port gehört der Application oder Core Boundary und wird vom Adapter aufgerufen. Game Output oder Capability Port gehört der Application Integration Contract Boundary und wird vom Adapter implementiert. Source Dependencies zeigen zu Abstraktionen.</w:t>
      </w:r>
    </w:p>
    <w:p>
      <w:pPr>
        <w:pStyle w:val="Heading2"/>
        <w:keepNext/>
        <w:widowControl/>
      </w:pPr>
      <w:r>
        <w:t>Verbindliche Regeln</w:t>
      </w:r>
    </w:p>
    <w:p>
      <w:pPr>
        <w:pStyle w:val="ListBullet"/>
        <w:keepLines/>
        <w:widowControl/>
      </w:pPr>
      <w:r>
        <w:t>Domain Modules importieren weder Game Adapter Types noch Skyrim SDK Types oder Game Schemas.</w:t>
      </w:r>
    </w:p>
    <w:p>
      <w:pPr>
        <w:pStyle w:val="ListBullet"/>
        <w:keepLines/>
        <w:widowControl/>
      </w:pPr>
      <w:r>
        <w:t>Capability Checks erfolgen in Integration Aware Application Coordination Code.</w:t>
      </w:r>
    </w:p>
    <w:p>
      <w:pPr>
        <w:pStyle w:val="ListBullet"/>
        <w:keepLines/>
        <w:widowControl/>
      </w:pPr>
      <w:r>
        <w:t>Der Host wählt das aktive Game Profile, erzeugt den Adapter und steuert Lifecycle Wiring.</w:t>
      </w:r>
    </w:p>
    <w:p>
      <w:pPr>
        <w:pStyle w:val="ListBullet"/>
        <w:keepLines/>
        <w:widowControl/>
      </w:pPr>
      <w:r>
        <w:t>In v1.x ist eine Game Profile Session aktiv.</w:t>
      </w:r>
    </w:p>
    <w:p>
      <w:pPr>
        <w:pStyle w:val="ListBullet"/>
        <w:keepLines/>
        <w:widowControl/>
      </w:pPr>
      <w:r>
        <w:t>Unsupported Capability liefert ein explizites typisiertes Ergebnis ohne Silent Fallback.</w:t>
      </w:r>
    </w:p>
    <w:p>
      <w:pPr>
        <w:pStyle w:val="Heading1"/>
        <w:keepNext/>
        <w:widowControl/>
      </w:pPr>
      <w:r>
        <w:t>3 Umfang, Verantwortung und Grenzen</w:t>
      </w:r>
    </w:p>
    <w:p>
      <w:pPr>
        <w:widowControl/>
      </w:pPr>
      <w:r>
        <w:t>Die Tabelle legt den Eigentümer jeder Aufgabe und die Semantik der Beziehung fest. Ownership wird nicht aus der Richtung eines Laufzeitaufrufs abgeleitet.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cantSplit/>
          <w:tblHeader w:val="true"/>
        </w:trPr>
        <w:tc>
          <w:tcPr>
            <w:tcW w:type="dxa" w:w="2520"/>
            <w:vAlign w:val="center"/>
            <w:tcMar>
              <w:top w:w="90" w:type="dxa"/>
              <w:start w:w="110" w:type="dxa"/>
              <w:bottom w:w="90" w:type="dxa"/>
              <w:end w:w="110" w:type="dxa"/>
            </w:tcMar>
            <w:shd w:fill="17324D"/>
          </w:tcPr>
          <w:p>
            <w:pPr>
              <w:spacing w:after="0" w:line="240" w:lineRule="auto"/>
            </w:pPr>
            <w:r>
              <w:rPr>
                <w:rFonts w:ascii="Arial" w:hAnsi="Arial"/>
                <w:b/>
                <w:color w:val="FFFFFF"/>
                <w:sz w:val="16"/>
              </w:rPr>
              <w:t>Komponente / Grenze</w:t>
            </w:r>
          </w:p>
        </w:tc>
        <w:tc>
          <w:tcPr>
            <w:tcW w:type="dxa" w:w="5472"/>
            <w:vAlign w:val="center"/>
            <w:tcMar>
              <w:top w:w="90" w:type="dxa"/>
              <w:start w:w="110" w:type="dxa"/>
              <w:bottom w:w="90" w:type="dxa"/>
              <w:end w:w="110" w:type="dxa"/>
            </w:tcMar>
            <w:shd w:fill="17324D"/>
          </w:tcPr>
          <w:p>
            <w:pPr>
              <w:spacing w:after="0" w:line="240" w:lineRule="auto"/>
            </w:pPr>
            <w:r>
              <w:rPr>
                <w:rFonts w:ascii="Arial" w:hAnsi="Arial"/>
                <w:b/>
                <w:color w:val="FFFFFF"/>
                <w:sz w:val="16"/>
              </w:rPr>
              <w:t>Verantwortung</w:t>
            </w:r>
          </w:p>
        </w:tc>
        <w:tc>
          <w:tcPr>
            <w:tcW w:type="dxa" w:w="1800"/>
            <w:vAlign w:val="center"/>
            <w:tcMar>
              <w:top w:w="90" w:type="dxa"/>
              <w:start w:w="110" w:type="dxa"/>
              <w:bottom w:w="90" w:type="dxa"/>
              <w:end w:w="110" w:type="dxa"/>
            </w:tcMar>
            <w:shd w:fill="17324D"/>
          </w:tcPr>
          <w:p>
            <w:pPr>
              <w:spacing w:after="0" w:line="240" w:lineRule="auto"/>
            </w:pPr>
            <w:r>
              <w:rPr>
                <w:rFonts w:ascii="Arial" w:hAnsi="Arial"/>
                <w:b/>
                <w:color w:val="FFFFFF"/>
                <w:sz w:val="16"/>
              </w:rPr>
              <w:t>Semantik</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Game Runtime</w:t>
            </w:r>
          </w:p>
        </w:tc>
        <w:tc>
          <w:tcPr>
            <w:tcW w:type="dxa" w:w="54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Externer Zustand und API</w:t>
            </w:r>
          </w:p>
        </w:tc>
        <w:tc>
          <w:tcPr>
            <w:tcW w:type="dxa" w:w="1800"/>
            <w:vAlign w:val="center"/>
            <w:tcMar>
              <w:top w:w="90" w:type="dxa"/>
              <w:start w:w="110" w:type="dxa"/>
              <w:bottom w:w="90" w:type="dxa"/>
              <w:end w:w="110" w:type="dxa"/>
            </w:tcMar>
            <w:shd w:fill="FFFFFF"/>
          </w:tcPr>
          <w:p>
            <w:pPr>
              <w:spacing w:after="0" w:line="240" w:lineRule="auto"/>
            </w:pPr>
            <w:r>
              <w:rPr>
                <w:rFonts w:ascii="Arial" w:hAnsi="Arial"/>
                <w:b w:val="0"/>
                <w:color w:val="000000"/>
                <w:sz w:val="16"/>
              </w:rPr>
              <w:t>External Ownership</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Game Adapter</w:t>
            </w:r>
          </w:p>
        </w:tc>
        <w:tc>
          <w:tcPr>
            <w:tcW w:type="dxa" w:w="54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Translation und Integration Health</w:t>
            </w:r>
          </w:p>
        </w:tc>
        <w:tc>
          <w:tcPr>
            <w:tcW w:type="dxa" w:w="1800"/>
            <w:vAlign w:val="center"/>
            <w:tcMar>
              <w:top w:w="90" w:type="dxa"/>
              <w:start w:w="110" w:type="dxa"/>
              <w:bottom w:w="90" w:type="dxa"/>
              <w:end w:w="110" w:type="dxa"/>
            </w:tcMar>
            <w:shd w:fill="F3F7FA"/>
          </w:tcPr>
          <w:p>
            <w:pPr>
              <w:spacing w:after="0" w:line="240" w:lineRule="auto"/>
            </w:pPr>
            <w:r>
              <w:rPr>
                <w:rFonts w:ascii="Arial" w:hAnsi="Arial"/>
                <w:b w:val="0"/>
                <w:color w:val="000000"/>
                <w:sz w:val="16"/>
              </w:rPr>
              <w:t>Ownership</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Game Profile</w:t>
            </w:r>
          </w:p>
        </w:tc>
        <w:tc>
          <w:tcPr>
            <w:tcW w:type="dxa" w:w="54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Capabilities, Versions und Compatibility Facts</w:t>
            </w:r>
          </w:p>
        </w:tc>
        <w:tc>
          <w:tcPr>
            <w:tcW w:type="dxa" w:w="1800"/>
            <w:vAlign w:val="center"/>
            <w:tcMar>
              <w:top w:w="90" w:type="dxa"/>
              <w:start w:w="110" w:type="dxa"/>
              <w:bottom w:w="90" w:type="dxa"/>
              <w:end w:w="110" w:type="dxa"/>
            </w:tcMar>
            <w:shd w:fill="FFFFFF"/>
          </w:tcPr>
          <w:p>
            <w:pPr>
              <w:spacing w:after="0" w:line="240" w:lineRule="auto"/>
            </w:pPr>
            <w:r>
              <w:rPr>
                <w:rFonts w:ascii="Arial" w:hAnsi="Arial"/>
                <w:b w:val="0"/>
                <w:color w:val="000000"/>
                <w:sz w:val="16"/>
              </w:rPr>
              <w:t>Ownership</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Game Ingress Port</w:t>
            </w:r>
          </w:p>
        </w:tc>
        <w:tc>
          <w:tcPr>
            <w:tcW w:type="dxa" w:w="54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Normalisierter Inbound Contract</w:t>
            </w:r>
          </w:p>
        </w:tc>
        <w:tc>
          <w:tcPr>
            <w:tcW w:type="dxa" w:w="1800"/>
            <w:vAlign w:val="center"/>
            <w:tcMar>
              <w:top w:w="90" w:type="dxa"/>
              <w:start w:w="110" w:type="dxa"/>
              <w:bottom w:w="90" w:type="dxa"/>
              <w:end w:w="110" w:type="dxa"/>
            </w:tcMar>
            <w:shd w:fill="F3F7FA"/>
          </w:tcPr>
          <w:p>
            <w:pPr>
              <w:spacing w:after="0" w:line="240" w:lineRule="auto"/>
            </w:pPr>
            <w:r>
              <w:rPr>
                <w:rFonts w:ascii="Arial" w:hAnsi="Arial"/>
                <w:b w:val="0"/>
                <w:color w:val="000000"/>
                <w:sz w:val="16"/>
              </w:rPr>
              <w:t>Contract Ownership durch Application</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Game Output Capability Port</w:t>
            </w:r>
          </w:p>
        </w:tc>
        <w:tc>
          <w:tcPr>
            <w:tcW w:type="dxa" w:w="54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Freigegebene Outbound Operations</w:t>
            </w:r>
          </w:p>
        </w:tc>
        <w:tc>
          <w:tcPr>
            <w:tcW w:type="dxa" w:w="1800"/>
            <w:vAlign w:val="center"/>
            <w:tcMar>
              <w:top w:w="90" w:type="dxa"/>
              <w:start w:w="110" w:type="dxa"/>
              <w:bottom w:w="90" w:type="dxa"/>
              <w:end w:w="110" w:type="dxa"/>
            </w:tcMar>
            <w:shd w:fill="FFFFFF"/>
          </w:tcPr>
          <w:p>
            <w:pPr>
              <w:spacing w:after="0" w:line="240" w:lineRule="auto"/>
            </w:pPr>
            <w:r>
              <w:rPr>
                <w:rFonts w:ascii="Arial" w:hAnsi="Arial"/>
                <w:b w:val="0"/>
                <w:color w:val="000000"/>
                <w:sz w:val="16"/>
              </w:rPr>
              <w:t>Contract Ownership durch Application Integration Boundary</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Core</w:t>
            </w:r>
          </w:p>
        </w:tc>
        <w:tc>
          <w:tcPr>
            <w:tcW w:type="dxa" w:w="54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Use Case Coordination</w:t>
            </w:r>
          </w:p>
        </w:tc>
        <w:tc>
          <w:tcPr>
            <w:tcW w:type="dxa" w:w="1800"/>
            <w:vAlign w:val="center"/>
            <w:tcMar>
              <w:top w:w="90" w:type="dxa"/>
              <w:start w:w="110" w:type="dxa"/>
              <w:bottom w:w="90" w:type="dxa"/>
              <w:end w:w="110" w:type="dxa"/>
            </w:tcMar>
            <w:shd w:fill="F3F7FA"/>
          </w:tcPr>
          <w:p>
            <w:pPr>
              <w:spacing w:after="0" w:line="240" w:lineRule="auto"/>
            </w:pPr>
            <w:r>
              <w:rPr>
                <w:rFonts w:ascii="Arial" w:hAnsi="Arial"/>
                <w:b w:val="0"/>
                <w:color w:val="000000"/>
                <w:sz w:val="16"/>
              </w:rPr>
              <w:t>Ownership</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Domain Modules</w:t>
            </w:r>
          </w:p>
        </w:tc>
        <w:tc>
          <w:tcPr>
            <w:tcW w:type="dxa" w:w="54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Gemeinsamer Simulation State und Regeln</w:t>
            </w:r>
          </w:p>
        </w:tc>
        <w:tc>
          <w:tcPr>
            <w:tcW w:type="dxa" w:w="1800"/>
            <w:vAlign w:val="center"/>
            <w:tcMar>
              <w:top w:w="90" w:type="dxa"/>
              <w:start w:w="110" w:type="dxa"/>
              <w:bottom w:w="90" w:type="dxa"/>
              <w:end w:w="110" w:type="dxa"/>
            </w:tcMar>
            <w:shd w:fill="FFFFFF"/>
          </w:tcPr>
          <w:p>
            <w:pPr>
              <w:spacing w:after="0" w:line="240" w:lineRule="auto"/>
            </w:pPr>
            <w:r>
              <w:rPr>
                <w:rFonts w:ascii="Arial" w:hAnsi="Arial"/>
                <w:b w:val="0"/>
                <w:color w:val="000000"/>
                <w:sz w:val="16"/>
              </w:rPr>
              <w:t>Ownership</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Host</w:t>
            </w:r>
          </w:p>
        </w:tc>
        <w:tc>
          <w:tcPr>
            <w:tcW w:type="dxa" w:w="54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Profile Selection und Adapter Lifecycle</w:t>
            </w:r>
          </w:p>
        </w:tc>
        <w:tc>
          <w:tcPr>
            <w:tcW w:type="dxa" w:w="1800"/>
            <w:vAlign w:val="center"/>
            <w:tcMar>
              <w:top w:w="90" w:type="dxa"/>
              <w:start w:w="110" w:type="dxa"/>
              <w:bottom w:w="90" w:type="dxa"/>
              <w:end w:w="110" w:type="dxa"/>
            </w:tcMar>
            <w:shd w:fill="F3F7FA"/>
          </w:tcPr>
          <w:p>
            <w:pPr>
              <w:spacing w:after="0" w:line="240" w:lineRule="auto"/>
            </w:pPr>
            <w:r>
              <w:rPr>
                <w:rFonts w:ascii="Arial" w:hAnsi="Arial"/>
                <w:b w:val="0"/>
                <w:color w:val="000000"/>
                <w:sz w:val="16"/>
              </w:rPr>
              <w:t>Lifecycle Wiring</w:t>
            </w:r>
          </w:p>
        </w:tc>
      </w:tr>
    </w:tbl>
    <w:p>
      <w:pPr>
        <w:widowControl/>
        <w:spacing w:after="40"/>
      </w:pPr>
    </w:p>
    <w:p>
      <w:pPr>
        <w:pStyle w:val="Heading1"/>
        <w:keepNext/>
        <w:widowControl/>
      </w:pPr>
      <w:r>
        <w:t>4 Verträge und Laufzeitabläufe</w:t>
      </w:r>
    </w:p>
    <w:p>
      <w:pPr>
        <w:widowControl/>
      </w:pPr>
      <w:r>
        <w:t>Jeder Ablauf benennt die Art der Beziehung und erzeugt keine zusätzlichen versteckten Abhängigkeiten.</w:t>
      </w:r>
    </w:p>
    <w:p>
      <w:pPr>
        <w:pStyle w:val="CodePath"/>
        <w:widowControl/>
      </w:pPr>
      <w:r>
        <w:t>Inbound Laufzeitaufruf: Game Runtime zu Game Adapter zu Game Ingress Port zu Application Coordination.</w:t>
      </w:r>
    </w:p>
    <w:p>
      <w:pPr>
        <w:pStyle w:val="CodePath"/>
        <w:widowControl/>
      </w:pPr>
      <w:r>
        <w:t>Outbound Laufzeitaufruf: Application Coordination zu Game Output oder Capability Port zu Game Adapter zu Game Runtime.</w:t>
      </w:r>
    </w:p>
    <w:p>
      <w:pPr>
        <w:pStyle w:val="CodePath"/>
        <w:widowControl/>
      </w:pPr>
      <w:r>
        <w:t>Statische Abhängigkeit: Der Adapter hängt von Port Abstractions und eigenen Game SDK Wrappers ab; die Anwendung hängt nur von Port Abstractions ab.</w:t>
      </w:r>
    </w:p>
    <w:p>
      <w:pPr>
        <w:pStyle w:val="CodePath"/>
        <w:widowControl/>
      </w:pPr>
      <w:r>
        <w:t>Event Relation: Normalisierte State Changes können nach Ingress Validation über Event Engine publiziert werden.</w:t>
      </w:r>
    </w:p>
    <w:p>
      <w:pPr>
        <w:pStyle w:val="CodePath"/>
        <w:widowControl/>
      </w:pPr>
      <w:r>
        <w:t>Readiness Data Flow: Adapter liefert Integration Health und Capability Evidence an den Host.</w:t>
      </w:r>
    </w:p>
    <w:p>
      <w:pPr>
        <w:pStyle w:val="Heading1"/>
        <w:keepNext/>
        <w:widowControl/>
      </w:pPr>
      <w:r>
        <w:t>5 Lebenszyklus, Fehler und Wiederherstellung</w:t>
      </w:r>
    </w:p>
    <w:p>
      <w:pPr>
        <w:pStyle w:val="ListBullet"/>
        <w:keepLines/>
        <w:widowControl/>
      </w:pPr>
      <w:r>
        <w:t>Der Host lädt Configuration und wählt genau ein Game Profile für die Session.</w:t>
      </w:r>
    </w:p>
    <w:p>
      <w:pPr>
        <w:pStyle w:val="ListBullet"/>
        <w:keepLines/>
        <w:widowControl/>
      </w:pPr>
      <w:r>
        <w:t>Der Adapter durchläuft Created, Initializing, Ready oder Degraded, Stopping und Stopped States.</w:t>
      </w:r>
    </w:p>
    <w:p>
      <w:pPr>
        <w:pStyle w:val="ListBullet"/>
        <w:keepLines/>
        <w:widowControl/>
      </w:pPr>
      <w:r>
        <w:t>Capability Discovery endet vor Freigabe abhängiger Anwendungsfälle.</w:t>
      </w:r>
    </w:p>
    <w:p>
      <w:pPr>
        <w:pStyle w:val="ListBullet"/>
        <w:keepLines/>
        <w:widowControl/>
      </w:pPr>
      <w:r>
        <w:t>Profile Switch ist eine kontrollierte Lifecycle Transition und kein gewöhnliches Configuration Toggle.</w:t>
      </w:r>
    </w:p>
    <w:p>
      <w:pPr>
        <w:pStyle w:val="ListBullet"/>
        <w:keepLines/>
        <w:widowControl/>
      </w:pPr>
      <w:r>
        <w:t>Adapter Failure bleibt isoliert und aktiviert keinen teilweise ungültigen Domain State.</w:t>
      </w:r>
    </w:p>
    <w:p>
      <w:pPr>
        <w:pStyle w:val="ListBullet"/>
        <w:keepLines/>
        <w:widowControl/>
      </w:pPr>
      <w:r>
        <w:t>Shutdown stoppt Inbound Ingestion, beendet erlaubte Outbound Calls und gibt SDK Resources frei.</w:t>
      </w:r>
    </w:p>
    <w:p>
      <w:pPr>
        <w:pStyle w:val="Heading1"/>
        <w:keepNext/>
        <w:widowControl/>
      </w:pPr>
      <w:r>
        <w:t>6 Sicherheit, Daten und Architekturregeln</w:t>
      </w:r>
    </w:p>
    <w:p>
      <w:pPr>
        <w:pStyle w:val="Heading2"/>
        <w:keepNext/>
        <w:widowControl/>
      </w:pPr>
      <w:r>
        <w:t>Verbindliche Architekturregeln</w:t>
      </w:r>
    </w:p>
    <w:p>
      <w:pPr>
        <w:pStyle w:val="ListBullet"/>
        <w:keepLines/>
        <w:widowControl/>
      </w:pPr>
      <w:r>
        <w:t>Core und Domain bleiben Game Agnostic.</w:t>
      </w:r>
    </w:p>
    <w:p>
      <w:pPr>
        <w:pStyle w:val="ListBullet"/>
        <w:keepLines/>
        <w:widowControl/>
      </w:pPr>
      <w:r>
        <w:t>Runtime Bidirectionality bedeutet keinen Implementation Cycle.</w:t>
      </w:r>
    </w:p>
    <w:p>
      <w:pPr>
        <w:pStyle w:val="ListBullet"/>
        <w:keepLines/>
        <w:widowControl/>
      </w:pPr>
      <w:r>
        <w:t>Jeder Input wird vor Domain Effect normalisiert und validiert.</w:t>
      </w:r>
    </w:p>
    <w:p>
      <w:pPr>
        <w:pStyle w:val="ListBullet"/>
        <w:keepLines/>
        <w:widowControl/>
      </w:pPr>
      <w:r>
        <w:t>Jede Outbound Action durchläuft Capability und Authorization Checks.</w:t>
      </w:r>
    </w:p>
    <w:p>
      <w:pPr>
        <w:pStyle w:val="ListBullet"/>
        <w:keepLines/>
        <w:widowControl/>
      </w:pPr>
      <w:r>
        <w:t>Cross Game Portability ist selektiv und versioniert.</w:t>
      </w:r>
    </w:p>
    <w:p>
      <w:pPr>
        <w:pStyle w:val="ListBullet"/>
        <w:keepLines/>
        <w:widowControl/>
      </w:pPr>
      <w:r>
        <w:t>Game Specific Failure beschädigt keinen Shared State.</w:t>
      </w:r>
    </w:p>
    <w:p>
      <w:pPr>
        <w:pStyle w:val="Heading1"/>
        <w:keepNext/>
        <w:widowControl/>
      </w:pPr>
      <w:r>
        <w:t>7 Alternativen und Abwägungen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cantSplit/>
          <w:tblHeader w:val="true"/>
        </w:trPr>
        <w:tc>
          <w:tcPr>
            <w:tcW w:type="dxa" w:w="2880"/>
            <w:vAlign w:val="center"/>
            <w:tcMar>
              <w:top w:w="90" w:type="dxa"/>
              <w:start w:w="110" w:type="dxa"/>
              <w:bottom w:w="90" w:type="dxa"/>
              <w:end w:w="110" w:type="dxa"/>
            </w:tcMar>
            <w:shd w:fill="17324D"/>
          </w:tcPr>
          <w:p>
            <w:pPr>
              <w:spacing w:after="0" w:line="240" w:lineRule="auto"/>
            </w:pPr>
            <w:r>
              <w:rPr>
                <w:rFonts w:ascii="Arial" w:hAnsi="Arial"/>
                <w:b/>
                <w:color w:val="FFFFFF"/>
                <w:sz w:val="16"/>
              </w:rPr>
              <w:t>Alternative</w:t>
            </w:r>
          </w:p>
        </w:tc>
        <w:tc>
          <w:tcPr>
            <w:tcW w:type="dxa" w:w="1728"/>
            <w:vAlign w:val="center"/>
            <w:tcMar>
              <w:top w:w="90" w:type="dxa"/>
              <w:start w:w="110" w:type="dxa"/>
              <w:bottom w:w="90" w:type="dxa"/>
              <w:end w:w="110" w:type="dxa"/>
            </w:tcMar>
            <w:shd w:fill="17324D"/>
          </w:tcPr>
          <w:p>
            <w:pPr>
              <w:spacing w:after="0" w:line="240" w:lineRule="auto"/>
            </w:pPr>
            <w:r>
              <w:rPr>
                <w:rFonts w:ascii="Arial" w:hAnsi="Arial"/>
                <w:b/>
                <w:color w:val="FFFFFF"/>
                <w:sz w:val="16"/>
              </w:rPr>
              <w:t>Ergebnis</w:t>
            </w:r>
          </w:p>
        </w:tc>
        <w:tc>
          <w:tcPr>
            <w:tcW w:type="dxa" w:w="5184"/>
            <w:vAlign w:val="center"/>
            <w:tcMar>
              <w:top w:w="90" w:type="dxa"/>
              <w:start w:w="110" w:type="dxa"/>
              <w:bottom w:w="90" w:type="dxa"/>
              <w:end w:w="110" w:type="dxa"/>
            </w:tcMar>
            <w:shd w:fill="17324D"/>
          </w:tcPr>
          <w:p>
            <w:pPr>
              <w:spacing w:after="0" w:line="240" w:lineRule="auto"/>
            </w:pPr>
            <w:r>
              <w:rPr>
                <w:rFonts w:ascii="Arial" w:hAnsi="Arial"/>
                <w:b/>
                <w:color w:val="FFFFFF"/>
                <w:sz w:val="16"/>
              </w:rPr>
              <w:t>Begründung</w:t>
            </w:r>
          </w:p>
        </w:tc>
      </w:tr>
      <w:tr>
        <w:trPr>
          <w:cantSplit/>
        </w:trPr>
        <w:tc>
          <w:tcPr>
            <w:tcW w:type="dxa" w:w="2880"/>
            <w:vAlign w:val="center"/>
            <w:tcMar>
              <w:top w:w="90" w:type="dxa"/>
              <w:start w:w="110" w:type="dxa"/>
              <w:bottom w:w="90" w:type="dxa"/>
              <w:end w:w="110" w:type="dxa"/>
            </w:tcMar>
            <w:shd w:fill="FFFFFF"/>
          </w:tcPr>
          <w:p>
            <w:pPr>
              <w:spacing w:after="0" w:line="240" w:lineRule="auto"/>
            </w:pPr>
            <w:r>
              <w:rPr>
                <w:rFonts w:ascii="Arial" w:hAnsi="Arial"/>
                <w:b w:val="0"/>
                <w:color w:val="000000"/>
                <w:sz w:val="16"/>
              </w:rPr>
              <w:t>Skyrim Specific Core</w:t>
            </w:r>
          </w:p>
        </w:tc>
        <w:tc>
          <w:tcPr>
            <w:tcW w:type="dxa" w:w="1728"/>
            <w:vAlign w:val="center"/>
            <w:tcMar>
              <w:top w:w="90" w:type="dxa"/>
              <w:start w:w="110" w:type="dxa"/>
              <w:bottom w:w="90" w:type="dxa"/>
              <w:end w:w="110" w:type="dxa"/>
            </w:tcMar>
            <w:shd w:fill="FFFFFF"/>
          </w:tcPr>
          <w:p>
            <w:pPr>
              <w:spacing w:after="0" w:line="240" w:lineRule="auto"/>
            </w:pPr>
            <w:r>
              <w:rPr>
                <w:rFonts w:ascii="Arial" w:hAnsi="Arial"/>
                <w:b w:val="0"/>
                <w:color w:val="000000"/>
                <w:sz w:val="16"/>
              </w:rPr>
              <w:t>Abgelehnt</w:t>
            </w:r>
          </w:p>
        </w:tc>
        <w:tc>
          <w:tcPr>
            <w:tcW w:type="dxa" w:w="5184"/>
            <w:vAlign w:val="center"/>
            <w:tcMar>
              <w:top w:w="90" w:type="dxa"/>
              <w:start w:w="110" w:type="dxa"/>
              <w:bottom w:w="90" w:type="dxa"/>
              <w:end w:w="110" w:type="dxa"/>
            </w:tcMar>
            <w:shd w:fill="FFFFFF"/>
          </w:tcPr>
          <w:p>
            <w:pPr>
              <w:spacing w:after="0" w:line="240" w:lineRule="auto"/>
            </w:pPr>
            <w:r>
              <w:rPr>
                <w:rFonts w:ascii="Arial" w:hAnsi="Arial"/>
                <w:b w:val="0"/>
                <w:color w:val="000000"/>
                <w:sz w:val="16"/>
              </w:rPr>
              <w:t>Blockiert neue Spiele und vermischt SDK mit Domain.</w:t>
            </w:r>
          </w:p>
        </w:tc>
      </w:tr>
      <w:tr>
        <w:trPr>
          <w:cantSplit/>
        </w:trPr>
        <w:tc>
          <w:tcPr>
            <w:tcW w:type="dxa" w:w="2880"/>
            <w:vAlign w:val="center"/>
            <w:tcMar>
              <w:top w:w="90" w:type="dxa"/>
              <w:start w:w="110" w:type="dxa"/>
              <w:bottom w:w="90" w:type="dxa"/>
              <w:end w:w="110" w:type="dxa"/>
            </w:tcMar>
            <w:shd w:fill="F3F7FA"/>
          </w:tcPr>
          <w:p>
            <w:pPr>
              <w:spacing w:after="0" w:line="240" w:lineRule="auto"/>
            </w:pPr>
            <w:r>
              <w:rPr>
                <w:rFonts w:ascii="Arial" w:hAnsi="Arial"/>
                <w:b w:val="0"/>
                <w:color w:val="000000"/>
                <w:sz w:val="16"/>
              </w:rPr>
              <w:t>Core Fork pro Spiel</w:t>
            </w:r>
          </w:p>
        </w:tc>
        <w:tc>
          <w:tcPr>
            <w:tcW w:type="dxa" w:w="1728"/>
            <w:vAlign w:val="center"/>
            <w:tcMar>
              <w:top w:w="90" w:type="dxa"/>
              <w:start w:w="110" w:type="dxa"/>
              <w:bottom w:w="90" w:type="dxa"/>
              <w:end w:w="110" w:type="dxa"/>
            </w:tcMar>
            <w:shd w:fill="F3F7FA"/>
          </w:tcPr>
          <w:p>
            <w:pPr>
              <w:spacing w:after="0" w:line="240" w:lineRule="auto"/>
            </w:pPr>
            <w:r>
              <w:rPr>
                <w:rFonts w:ascii="Arial" w:hAnsi="Arial"/>
                <w:b w:val="0"/>
                <w:color w:val="000000"/>
                <w:sz w:val="16"/>
              </w:rPr>
              <w:t>Abgelehnt</w:t>
            </w:r>
          </w:p>
        </w:tc>
        <w:tc>
          <w:tcPr>
            <w:tcW w:type="dxa" w:w="5184"/>
            <w:vAlign w:val="center"/>
            <w:tcMar>
              <w:top w:w="90" w:type="dxa"/>
              <w:start w:w="110" w:type="dxa"/>
              <w:bottom w:w="90" w:type="dxa"/>
              <w:end w:w="110" w:type="dxa"/>
            </w:tcMar>
            <w:shd w:fill="F3F7FA"/>
          </w:tcPr>
          <w:p>
            <w:pPr>
              <w:spacing w:after="0" w:line="240" w:lineRule="auto"/>
            </w:pPr>
            <w:r>
              <w:rPr>
                <w:rFonts w:ascii="Arial" w:hAnsi="Arial"/>
                <w:b w:val="0"/>
                <w:color w:val="000000"/>
                <w:sz w:val="16"/>
              </w:rPr>
              <w:t>Teilt Regeln auf und erschwert Wartung.</w:t>
            </w:r>
          </w:p>
        </w:tc>
      </w:tr>
      <w:tr>
        <w:trPr>
          <w:cantSplit/>
        </w:trPr>
        <w:tc>
          <w:tcPr>
            <w:tcW w:type="dxa" w:w="2880"/>
            <w:vAlign w:val="center"/>
            <w:tcMar>
              <w:top w:w="90" w:type="dxa"/>
              <w:start w:w="110" w:type="dxa"/>
              <w:bottom w:w="90" w:type="dxa"/>
              <w:end w:w="110" w:type="dxa"/>
            </w:tcMar>
            <w:shd w:fill="FFFFFF"/>
          </w:tcPr>
          <w:p>
            <w:pPr>
              <w:spacing w:after="0" w:line="240" w:lineRule="auto"/>
            </w:pPr>
            <w:r>
              <w:rPr>
                <w:rFonts w:ascii="Arial" w:hAnsi="Arial"/>
                <w:b w:val="0"/>
                <w:color w:val="000000"/>
                <w:sz w:val="16"/>
              </w:rPr>
              <w:t>Direkte Domain zu Game API</w:t>
            </w:r>
          </w:p>
        </w:tc>
        <w:tc>
          <w:tcPr>
            <w:tcW w:type="dxa" w:w="1728"/>
            <w:vAlign w:val="center"/>
            <w:tcMar>
              <w:top w:w="90" w:type="dxa"/>
              <w:start w:w="110" w:type="dxa"/>
              <w:bottom w:w="90" w:type="dxa"/>
              <w:end w:w="110" w:type="dxa"/>
            </w:tcMar>
            <w:shd w:fill="FFFFFF"/>
          </w:tcPr>
          <w:p>
            <w:pPr>
              <w:spacing w:after="0" w:line="240" w:lineRule="auto"/>
            </w:pPr>
            <w:r>
              <w:rPr>
                <w:rFonts w:ascii="Arial" w:hAnsi="Arial"/>
                <w:b w:val="0"/>
                <w:color w:val="000000"/>
                <w:sz w:val="16"/>
              </w:rPr>
              <w:t>Abgelehnt</w:t>
            </w:r>
          </w:p>
        </w:tc>
        <w:tc>
          <w:tcPr>
            <w:tcW w:type="dxa" w:w="5184"/>
            <w:vAlign w:val="center"/>
            <w:tcMar>
              <w:top w:w="90" w:type="dxa"/>
              <w:start w:w="110" w:type="dxa"/>
              <w:bottom w:w="90" w:type="dxa"/>
              <w:end w:w="110" w:type="dxa"/>
            </w:tcMar>
            <w:shd w:fill="FFFFFF"/>
          </w:tcPr>
          <w:p>
            <w:pPr>
              <w:spacing w:after="0" w:line="240" w:lineRule="auto"/>
            </w:pPr>
            <w:r>
              <w:rPr>
                <w:rFonts w:ascii="Arial" w:hAnsi="Arial"/>
                <w:b w:val="0"/>
                <w:color w:val="000000"/>
                <w:sz w:val="16"/>
              </w:rPr>
              <w:t>Verletzt Boundary und Testbarkeit.</w:t>
            </w:r>
          </w:p>
        </w:tc>
      </w:tr>
      <w:tr>
        <w:trPr>
          <w:cantSplit/>
        </w:trPr>
        <w:tc>
          <w:tcPr>
            <w:tcW w:type="dxa" w:w="2880"/>
            <w:vAlign w:val="center"/>
            <w:tcMar>
              <w:top w:w="90" w:type="dxa"/>
              <w:start w:w="110" w:type="dxa"/>
              <w:bottom w:w="90" w:type="dxa"/>
              <w:end w:w="110" w:type="dxa"/>
            </w:tcMar>
            <w:shd w:fill="F3F7FA"/>
          </w:tcPr>
          <w:p>
            <w:pPr>
              <w:spacing w:after="0" w:line="240" w:lineRule="auto"/>
            </w:pPr>
            <w:r>
              <w:rPr>
                <w:rFonts w:ascii="Arial" w:hAnsi="Arial"/>
                <w:b w:val="0"/>
                <w:color w:val="000000"/>
                <w:sz w:val="16"/>
              </w:rPr>
              <w:t>Ein breiter Generic Adapter</w:t>
            </w:r>
          </w:p>
        </w:tc>
        <w:tc>
          <w:tcPr>
            <w:tcW w:type="dxa" w:w="1728"/>
            <w:vAlign w:val="center"/>
            <w:tcMar>
              <w:top w:w="90" w:type="dxa"/>
              <w:start w:w="110" w:type="dxa"/>
              <w:bottom w:w="90" w:type="dxa"/>
              <w:end w:w="110" w:type="dxa"/>
            </w:tcMar>
            <w:shd w:fill="F3F7FA"/>
          </w:tcPr>
          <w:p>
            <w:pPr>
              <w:spacing w:after="0" w:line="240" w:lineRule="auto"/>
            </w:pPr>
            <w:r>
              <w:rPr>
                <w:rFonts w:ascii="Arial" w:hAnsi="Arial"/>
                <w:b w:val="0"/>
                <w:color w:val="000000"/>
                <w:sz w:val="16"/>
              </w:rPr>
              <w:t>Abgelehnt</w:t>
            </w:r>
          </w:p>
        </w:tc>
        <w:tc>
          <w:tcPr>
            <w:tcW w:type="dxa" w:w="5184"/>
            <w:vAlign w:val="center"/>
            <w:tcMar>
              <w:top w:w="90" w:type="dxa"/>
              <w:start w:w="110" w:type="dxa"/>
              <w:bottom w:w="90" w:type="dxa"/>
              <w:end w:w="110" w:type="dxa"/>
            </w:tcMar>
            <w:shd w:fill="F3F7FA"/>
          </w:tcPr>
          <w:p>
            <w:pPr>
              <w:spacing w:after="0" w:line="240" w:lineRule="auto"/>
            </w:pPr>
            <w:r>
              <w:rPr>
                <w:rFonts w:ascii="Arial" w:hAnsi="Arial"/>
                <w:b w:val="0"/>
                <w:color w:val="000000"/>
                <w:sz w:val="16"/>
              </w:rPr>
              <w:t>Verbirgt Capability Unterschiede.</w:t>
            </w:r>
          </w:p>
        </w:tc>
      </w:tr>
      <w:tr>
        <w:trPr>
          <w:cantSplit/>
        </w:trPr>
        <w:tc>
          <w:tcPr>
            <w:tcW w:type="dxa" w:w="2880"/>
            <w:vAlign w:val="center"/>
            <w:tcMar>
              <w:top w:w="90" w:type="dxa"/>
              <w:start w:w="110" w:type="dxa"/>
              <w:bottom w:w="90" w:type="dxa"/>
              <w:end w:w="110" w:type="dxa"/>
            </w:tcMar>
            <w:shd w:fill="FFFFFF"/>
          </w:tcPr>
          <w:p>
            <w:pPr>
              <w:spacing w:after="0" w:line="240" w:lineRule="auto"/>
            </w:pPr>
            <w:r>
              <w:rPr>
                <w:rFonts w:ascii="Arial" w:hAnsi="Arial"/>
                <w:b w:val="0"/>
                <w:color w:val="000000"/>
                <w:sz w:val="16"/>
              </w:rPr>
              <w:t>Profiles und Owned Ports</w:t>
            </w:r>
          </w:p>
        </w:tc>
        <w:tc>
          <w:tcPr>
            <w:tcW w:type="dxa" w:w="1728"/>
            <w:vAlign w:val="center"/>
            <w:tcMar>
              <w:top w:w="90" w:type="dxa"/>
              <w:start w:w="110" w:type="dxa"/>
              <w:bottom w:w="90" w:type="dxa"/>
              <w:end w:w="110" w:type="dxa"/>
            </w:tcMar>
            <w:shd w:fill="FFFFFF"/>
          </w:tcPr>
          <w:p>
            <w:pPr>
              <w:spacing w:after="0" w:line="240" w:lineRule="auto"/>
            </w:pPr>
            <w:r>
              <w:rPr>
                <w:rFonts w:ascii="Arial" w:hAnsi="Arial"/>
                <w:b w:val="0"/>
                <w:color w:val="000000"/>
                <w:sz w:val="16"/>
              </w:rPr>
              <w:t>Gewählt</w:t>
            </w:r>
          </w:p>
        </w:tc>
        <w:tc>
          <w:tcPr>
            <w:tcW w:type="dxa" w:w="5184"/>
            <w:vAlign w:val="center"/>
            <w:tcMar>
              <w:top w:w="90" w:type="dxa"/>
              <w:start w:w="110" w:type="dxa"/>
              <w:bottom w:w="90" w:type="dxa"/>
              <w:end w:w="110" w:type="dxa"/>
            </w:tcMar>
            <w:shd w:fill="FFFFFF"/>
          </w:tcPr>
          <w:p>
            <w:pPr>
              <w:spacing w:after="0" w:line="240" w:lineRule="auto"/>
            </w:pPr>
            <w:r>
              <w:rPr>
                <w:rFonts w:ascii="Arial" w:hAnsi="Arial"/>
                <w:b w:val="0"/>
                <w:color w:val="000000"/>
                <w:sz w:val="16"/>
              </w:rPr>
              <w:t>Unterstützt gemeinsamen Core und explizite Unterschiede.</w:t>
            </w:r>
          </w:p>
        </w:tc>
      </w:tr>
    </w:tbl>
    <w:p>
      <w:pPr>
        <w:widowControl/>
        <w:spacing w:after="40"/>
      </w:pPr>
    </w:p>
    <w:p>
      <w:pPr>
        <w:pStyle w:val="Heading2"/>
        <w:keepNext/>
        <w:widowControl/>
      </w:pPr>
      <w:r>
        <w:t>Akzeptierte Abwägungen</w:t>
      </w:r>
    </w:p>
    <w:p>
      <w:pPr>
        <w:pStyle w:val="ListBullet"/>
        <w:keepLines/>
        <w:widowControl/>
      </w:pPr>
      <w:r>
        <w:t>Jeder Game Adapter benötigt eigenes Mapping und eine Integration Test Suite.</w:t>
      </w:r>
    </w:p>
    <w:p>
      <w:pPr>
        <w:pStyle w:val="ListBullet"/>
        <w:keepLines/>
        <w:widowControl/>
      </w:pPr>
      <w:r>
        <w:t>Ein gemeinsames Domain Model garantiert nicht die Portabilität jedes State; Unsupported Mappings müssen explizit sein.</w:t>
      </w:r>
    </w:p>
    <w:p>
      <w:pPr>
        <w:pStyle w:val="Heading1"/>
        <w:keepNext/>
        <w:widowControl/>
      </w:pPr>
      <w:r>
        <w:t>8 Umsetzung und Prüfung</w:t>
      </w:r>
    </w:p>
    <w:p>
      <w:pPr>
        <w:pStyle w:val="Heading2"/>
        <w:keepNext/>
        <w:widowControl/>
      </w:pPr>
      <w:r>
        <w:t>Anforderungen an die Umsetzung</w:t>
      </w:r>
    </w:p>
    <w:p>
      <w:pPr>
        <w:pStyle w:val="ListBullet"/>
        <w:keepLines/>
        <w:widowControl/>
      </w:pPr>
      <w:r>
        <w:t>Game SDK Types bleiben im Adapter Package.</w:t>
      </w:r>
    </w:p>
    <w:p>
      <w:pPr>
        <w:pStyle w:val="ListBullet"/>
        <w:keepLines/>
        <w:widowControl/>
      </w:pPr>
      <w:r>
        <w:t>Das Game Profile Schema beschreibt Versions, Capabilities und bekannte Einschränkungen.</w:t>
      </w:r>
    </w:p>
    <w:p>
      <w:pPr>
        <w:pStyle w:val="ListBullet"/>
        <w:keepLines/>
        <w:widowControl/>
      </w:pPr>
      <w:r>
        <w:t>Ingress DTOs werden vor Aufruf von Core in Application Contracts umgewandelt.</w:t>
      </w:r>
    </w:p>
    <w:p>
      <w:pPr>
        <w:pStyle w:val="ListBullet"/>
        <w:keepLines/>
        <w:widowControl/>
      </w:pPr>
      <w:r>
        <w:t>Outbound Commands verwenden Capability Token oder einen gleichwertigen validierten Context.</w:t>
      </w:r>
    </w:p>
    <w:p>
      <w:pPr>
        <w:pStyle w:val="ListBullet"/>
        <w:keepLines/>
        <w:widowControl/>
      </w:pPr>
      <w:r>
        <w:t>Contract Tests laufen für jeden Adapter gegen eine gemeinsame Port Suite.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cantSplit/>
          <w:tblHeader w:val="true"/>
        </w:trPr>
        <w:tc>
          <w:tcPr>
            <w:tcW w:type="dxa" w:w="3240"/>
            <w:vAlign w:val="center"/>
            <w:tcMar>
              <w:top w:w="90" w:type="dxa"/>
              <w:start w:w="110" w:type="dxa"/>
              <w:bottom w:w="90" w:type="dxa"/>
              <w:end w:w="110" w:type="dxa"/>
            </w:tcMar>
            <w:shd w:fill="17324D"/>
          </w:tcPr>
          <w:p>
            <w:pPr>
              <w:spacing w:after="0" w:line="240" w:lineRule="auto"/>
            </w:pPr>
            <w:r>
              <w:rPr>
                <w:rFonts w:ascii="Arial" w:hAnsi="Arial"/>
                <w:b/>
                <w:color w:val="FFFFFF"/>
                <w:sz w:val="16"/>
              </w:rPr>
              <w:t>Prüfung</w:t>
            </w:r>
          </w:p>
        </w:tc>
        <w:tc>
          <w:tcPr>
            <w:tcW w:type="dxa" w:w="6552"/>
            <w:vAlign w:val="center"/>
            <w:tcMar>
              <w:top w:w="90" w:type="dxa"/>
              <w:start w:w="110" w:type="dxa"/>
              <w:bottom w:w="90" w:type="dxa"/>
              <w:end w:w="110" w:type="dxa"/>
            </w:tcMar>
            <w:shd w:fill="17324D"/>
          </w:tcPr>
          <w:p>
            <w:pPr>
              <w:spacing w:after="0" w:line="240" w:lineRule="auto"/>
            </w:pPr>
            <w:r>
              <w:rPr>
                <w:rFonts w:ascii="Arial" w:hAnsi="Arial"/>
                <w:b/>
                <w:color w:val="FFFFFF"/>
                <w:sz w:val="16"/>
              </w:rPr>
              <w:t>PASS Bedingung</w:t>
            </w:r>
          </w:p>
        </w:tc>
      </w:tr>
      <w:tr>
        <w:trPr>
          <w:cantSplit/>
        </w:trPr>
        <w:tc>
          <w:tcPr>
            <w:tcW w:type="dxa" w:w="3240"/>
            <w:vAlign w:val="center"/>
            <w:tcMar>
              <w:top w:w="90" w:type="dxa"/>
              <w:start w:w="110" w:type="dxa"/>
              <w:bottom w:w="90" w:type="dxa"/>
              <w:end w:w="110" w:type="dxa"/>
            </w:tcMar>
            <w:shd w:fill="FFFFFF"/>
          </w:tcPr>
          <w:p>
            <w:pPr>
              <w:spacing w:after="0" w:line="240" w:lineRule="auto"/>
            </w:pPr>
            <w:r>
              <w:rPr>
                <w:rFonts w:ascii="Arial" w:hAnsi="Arial"/>
                <w:b w:val="0"/>
                <w:color w:val="000000"/>
                <w:sz w:val="16"/>
              </w:rPr>
              <w:t>Dependency Graph</w:t>
            </w:r>
          </w:p>
        </w:tc>
        <w:tc>
          <w:tcPr>
            <w:tcW w:type="dxa" w:w="6552"/>
            <w:vAlign w:val="center"/>
            <w:tcMar>
              <w:top w:w="90" w:type="dxa"/>
              <w:start w:w="110" w:type="dxa"/>
              <w:bottom w:w="90" w:type="dxa"/>
              <w:end w:w="110" w:type="dxa"/>
            </w:tcMar>
            <w:shd w:fill="FFFFFF"/>
          </w:tcPr>
          <w:p>
            <w:pPr>
              <w:spacing w:after="0" w:line="240" w:lineRule="auto"/>
            </w:pPr>
            <w:r>
              <w:rPr>
                <w:rFonts w:ascii="Arial" w:hAnsi="Arial"/>
                <w:b w:val="0"/>
                <w:color w:val="000000"/>
                <w:sz w:val="16"/>
              </w:rPr>
              <w:t>Kein Core zu Concrete Adapter und kein Rückzyklus</w:t>
            </w:r>
          </w:p>
        </w:tc>
      </w:tr>
      <w:tr>
        <w:trPr>
          <w:cantSplit/>
        </w:trPr>
        <w:tc>
          <w:tcPr>
            <w:tcW w:type="dxa" w:w="3240"/>
            <w:vAlign w:val="center"/>
            <w:tcMar>
              <w:top w:w="90" w:type="dxa"/>
              <w:start w:w="110" w:type="dxa"/>
              <w:bottom w:w="90" w:type="dxa"/>
              <w:end w:w="110" w:type="dxa"/>
            </w:tcMar>
            <w:shd w:fill="F3F7FA"/>
          </w:tcPr>
          <w:p>
            <w:pPr>
              <w:spacing w:after="0" w:line="240" w:lineRule="auto"/>
            </w:pPr>
            <w:r>
              <w:rPr>
                <w:rFonts w:ascii="Arial" w:hAnsi="Arial"/>
                <w:b w:val="0"/>
                <w:color w:val="000000"/>
                <w:sz w:val="16"/>
              </w:rPr>
              <w:t>Ingress Tests</w:t>
            </w:r>
          </w:p>
        </w:tc>
        <w:tc>
          <w:tcPr>
            <w:tcW w:type="dxa" w:w="6552"/>
            <w:vAlign w:val="center"/>
            <w:tcMar>
              <w:top w:w="90" w:type="dxa"/>
              <w:start w:w="110" w:type="dxa"/>
              <w:bottom w:w="90" w:type="dxa"/>
              <w:end w:w="110" w:type="dxa"/>
            </w:tcMar>
            <w:shd w:fill="F3F7FA"/>
          </w:tcPr>
          <w:p>
            <w:pPr>
              <w:spacing w:after="0" w:line="240" w:lineRule="auto"/>
            </w:pPr>
            <w:r>
              <w:rPr>
                <w:rFonts w:ascii="Arial" w:hAnsi="Arial"/>
                <w:b w:val="0"/>
                <w:color w:val="000000"/>
                <w:sz w:val="16"/>
              </w:rPr>
              <w:t>Invalid Input beeinflusst Domain nicht</w:t>
            </w:r>
          </w:p>
        </w:tc>
      </w:tr>
      <w:tr>
        <w:trPr>
          <w:cantSplit/>
        </w:trPr>
        <w:tc>
          <w:tcPr>
            <w:tcW w:type="dxa" w:w="3240"/>
            <w:vAlign w:val="center"/>
            <w:tcMar>
              <w:top w:w="90" w:type="dxa"/>
              <w:start w:w="110" w:type="dxa"/>
              <w:bottom w:w="90" w:type="dxa"/>
              <w:end w:w="110" w:type="dxa"/>
            </w:tcMar>
            <w:shd w:fill="FFFFFF"/>
          </w:tcPr>
          <w:p>
            <w:pPr>
              <w:spacing w:after="0" w:line="240" w:lineRule="auto"/>
            </w:pPr>
            <w:r>
              <w:rPr>
                <w:rFonts w:ascii="Arial" w:hAnsi="Arial"/>
                <w:b w:val="0"/>
                <w:color w:val="000000"/>
                <w:sz w:val="16"/>
              </w:rPr>
              <w:t>Capability Tests</w:t>
            </w:r>
          </w:p>
        </w:tc>
        <w:tc>
          <w:tcPr>
            <w:tcW w:type="dxa" w:w="6552"/>
            <w:vAlign w:val="center"/>
            <w:tcMar>
              <w:top w:w="90" w:type="dxa"/>
              <w:start w:w="110" w:type="dxa"/>
              <w:bottom w:w="90" w:type="dxa"/>
              <w:end w:w="110" w:type="dxa"/>
            </w:tcMar>
            <w:shd w:fill="FFFFFF"/>
          </w:tcPr>
          <w:p>
            <w:pPr>
              <w:spacing w:after="0" w:line="240" w:lineRule="auto"/>
            </w:pPr>
            <w:r>
              <w:rPr>
                <w:rFonts w:ascii="Arial" w:hAnsi="Arial"/>
                <w:b w:val="0"/>
                <w:color w:val="000000"/>
                <w:sz w:val="16"/>
              </w:rPr>
              <w:t>Unsupported Operation liefert Typed Failure</w:t>
            </w:r>
          </w:p>
        </w:tc>
      </w:tr>
      <w:tr>
        <w:trPr>
          <w:cantSplit/>
        </w:trPr>
        <w:tc>
          <w:tcPr>
            <w:tcW w:type="dxa" w:w="3240"/>
            <w:vAlign w:val="center"/>
            <w:tcMar>
              <w:top w:w="90" w:type="dxa"/>
              <w:start w:w="110" w:type="dxa"/>
              <w:bottom w:w="90" w:type="dxa"/>
              <w:end w:w="110" w:type="dxa"/>
            </w:tcMar>
            <w:shd w:fill="F3F7FA"/>
          </w:tcPr>
          <w:p>
            <w:pPr>
              <w:spacing w:after="0" w:line="240" w:lineRule="auto"/>
            </w:pPr>
            <w:r>
              <w:rPr>
                <w:rFonts w:ascii="Arial" w:hAnsi="Arial"/>
                <w:b w:val="0"/>
                <w:color w:val="000000"/>
                <w:sz w:val="16"/>
              </w:rPr>
              <w:t>Lifecycle Tests</w:t>
            </w:r>
          </w:p>
        </w:tc>
        <w:tc>
          <w:tcPr>
            <w:tcW w:type="dxa" w:w="6552"/>
            <w:vAlign w:val="center"/>
            <w:tcMar>
              <w:top w:w="90" w:type="dxa"/>
              <w:start w:w="110" w:type="dxa"/>
              <w:bottom w:w="90" w:type="dxa"/>
              <w:end w:w="110" w:type="dxa"/>
            </w:tcMar>
            <w:shd w:fill="F3F7FA"/>
          </w:tcPr>
          <w:p>
            <w:pPr>
              <w:spacing w:after="0" w:line="240" w:lineRule="auto"/>
            </w:pPr>
            <w:r>
              <w:rPr>
                <w:rFonts w:ascii="Arial" w:hAnsi="Arial"/>
                <w:b w:val="0"/>
                <w:color w:val="000000"/>
                <w:sz w:val="16"/>
              </w:rPr>
              <w:t>Der Host steuert Profile und Adapter</w:t>
            </w:r>
          </w:p>
        </w:tc>
      </w:tr>
      <w:tr>
        <w:trPr>
          <w:cantSplit/>
        </w:trPr>
        <w:tc>
          <w:tcPr>
            <w:tcW w:type="dxa" w:w="3240"/>
            <w:vAlign w:val="center"/>
            <w:tcMar>
              <w:top w:w="90" w:type="dxa"/>
              <w:start w:w="110" w:type="dxa"/>
              <w:bottom w:w="90" w:type="dxa"/>
              <w:end w:w="110" w:type="dxa"/>
            </w:tcMar>
            <w:shd w:fill="FFFFFF"/>
          </w:tcPr>
          <w:p>
            <w:pPr>
              <w:spacing w:after="0" w:line="240" w:lineRule="auto"/>
            </w:pPr>
            <w:r>
              <w:rPr>
                <w:rFonts w:ascii="Arial" w:hAnsi="Arial"/>
                <w:b w:val="0"/>
                <w:color w:val="000000"/>
                <w:sz w:val="16"/>
              </w:rPr>
              <w:t>Portability Tests</w:t>
            </w:r>
          </w:p>
        </w:tc>
        <w:tc>
          <w:tcPr>
            <w:tcW w:type="dxa" w:w="6552"/>
            <w:vAlign w:val="center"/>
            <w:tcMar>
              <w:top w:w="90" w:type="dxa"/>
              <w:start w:w="110" w:type="dxa"/>
              <w:bottom w:w="90" w:type="dxa"/>
              <w:end w:w="110" w:type="dxa"/>
            </w:tcMar>
            <w:shd w:fill="FFFFFF"/>
          </w:tcPr>
          <w:p>
            <w:pPr>
              <w:spacing w:after="0" w:line="240" w:lineRule="auto"/>
            </w:pPr>
            <w:r>
              <w:rPr>
                <w:rFonts w:ascii="Arial" w:hAnsi="Arial"/>
                <w:b w:val="0"/>
                <w:color w:val="000000"/>
                <w:sz w:val="16"/>
              </w:rPr>
              <w:t>Jedes portable Feld besitzt ein Mapping</w:t>
            </w:r>
          </w:p>
        </w:tc>
      </w:tr>
    </w:tbl>
    <w:p>
      <w:pPr>
        <w:widowControl/>
        <w:spacing w:after="40"/>
      </w:pPr>
    </w:p>
    <w:p>
      <w:pPr>
        <w:pStyle w:val="Heading1"/>
        <w:keepNext/>
        <w:widowControl/>
      </w:pPr>
      <w:r>
        <w:t>9 Nachverfolgbarkeit und Änderungshistorie</w:t>
      </w:r>
    </w:p>
    <w:p>
      <w:pPr>
        <w:pStyle w:val="Heading2"/>
        <w:keepNext/>
        <w:widowControl/>
      </w:pPr>
      <w:r>
        <w:t>Verknüpfte Dokumente</w:t>
      </w:r>
    </w:p>
    <w:p>
      <w:pPr>
        <w:pStyle w:val="ListBullet"/>
        <w:keepLines/>
        <w:widowControl/>
      </w:pPr>
      <w:r>
        <w:t>ADR-008</w:t>
      </w:r>
    </w:p>
    <w:p>
      <w:pPr>
        <w:pStyle w:val="ListBullet"/>
        <w:keepLines/>
        <w:widowControl/>
      </w:pPr>
      <w:r>
        <w:t>ARCH-004 v1.4</w:t>
      </w:r>
    </w:p>
    <w:p>
      <w:pPr>
        <w:pStyle w:val="ListBullet"/>
        <w:keepLines/>
        <w:widowControl/>
      </w:pPr>
      <w:r>
        <w:t>ARCH-005 v1.4</w:t>
      </w:r>
    </w:p>
    <w:p>
      <w:pPr>
        <w:pStyle w:val="ListBullet"/>
        <w:keepLines/>
        <w:widowControl/>
      </w:pPr>
      <w:r>
        <w:t>ARCH-006 v1.2</w:t>
      </w:r>
    </w:p>
    <w:p>
      <w:pPr>
        <w:pStyle w:val="ListBullet"/>
        <w:keepLines/>
        <w:widowControl/>
      </w:pPr>
      <w:r>
        <w:t>MOD-001 v1.2</w:t>
      </w:r>
    </w:p>
    <w:p>
      <w:pPr>
        <w:pStyle w:val="ListBullet"/>
        <w:keepLines/>
        <w:widowControl/>
      </w:pPr>
      <w:r>
        <w:t>AUDIT-007</w:t>
      </w:r>
    </w:p>
    <w:p>
      <w:pPr>
        <w:pStyle w:val="ListBullet"/>
        <w:keepLines/>
        <w:widowControl/>
      </w:pPr>
      <w:r>
        <w:t>AUDIT-028</w:t>
      </w:r>
    </w:p>
    <w:p>
      <w:pPr>
        <w:pStyle w:val="Heading2"/>
        <w:keepNext/>
        <w:widowControl/>
      </w:pPr>
      <w:r>
        <w:t>Änderungshistorie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cantSplit/>
          <w:tblHeader w:val="true"/>
        </w:trPr>
        <w:tc>
          <w:tcPr>
            <w:tcW w:type="dxa" w:w="1152"/>
            <w:vAlign w:val="center"/>
            <w:tcMar>
              <w:top w:w="90" w:type="dxa"/>
              <w:start w:w="110" w:type="dxa"/>
              <w:bottom w:w="90" w:type="dxa"/>
              <w:end w:w="110" w:type="dxa"/>
            </w:tcMar>
            <w:shd w:fill="17324D"/>
          </w:tcPr>
          <w:p>
            <w:pPr>
              <w:spacing w:after="0" w:line="240" w:lineRule="auto"/>
            </w:pPr>
            <w:r>
              <w:rPr>
                <w:rFonts w:ascii="Arial" w:hAnsi="Arial"/>
                <w:b/>
                <w:color w:val="FFFFFF"/>
                <w:sz w:val="16"/>
              </w:rPr>
              <w:t>Version</w:t>
            </w:r>
          </w:p>
        </w:tc>
        <w:tc>
          <w:tcPr>
            <w:tcW w:type="dxa" w:w="1728"/>
            <w:vAlign w:val="center"/>
            <w:tcMar>
              <w:top w:w="90" w:type="dxa"/>
              <w:start w:w="110" w:type="dxa"/>
              <w:bottom w:w="90" w:type="dxa"/>
              <w:end w:w="110" w:type="dxa"/>
            </w:tcMar>
            <w:shd w:fill="17324D"/>
          </w:tcPr>
          <w:p>
            <w:pPr>
              <w:spacing w:after="0" w:line="240" w:lineRule="auto"/>
            </w:pPr>
            <w:r>
              <w:rPr>
                <w:rFonts w:ascii="Arial" w:hAnsi="Arial"/>
                <w:b/>
                <w:color w:val="FFFFFF"/>
                <w:sz w:val="16"/>
              </w:rPr>
              <w:t>Datum</w:t>
            </w:r>
          </w:p>
        </w:tc>
        <w:tc>
          <w:tcPr>
            <w:tcW w:type="dxa" w:w="6912"/>
            <w:vAlign w:val="center"/>
            <w:tcMar>
              <w:top w:w="90" w:type="dxa"/>
              <w:start w:w="110" w:type="dxa"/>
              <w:bottom w:w="90" w:type="dxa"/>
              <w:end w:w="110" w:type="dxa"/>
            </w:tcMar>
            <w:shd w:fill="17324D"/>
          </w:tcPr>
          <w:p>
            <w:pPr>
              <w:spacing w:after="0" w:line="240" w:lineRule="auto"/>
            </w:pPr>
            <w:r>
              <w:rPr>
                <w:rFonts w:ascii="Arial" w:hAnsi="Arial"/>
                <w:b/>
                <w:color w:val="FFFFFF"/>
                <w:sz w:val="16"/>
              </w:rPr>
              <w:t>Änderung</w:t>
            </w:r>
          </w:p>
        </w:tc>
      </w:tr>
      <w:tr>
        <w:trPr>
          <w:cantSplit/>
        </w:trPr>
        <w:tc>
          <w:tcPr>
            <w:tcW w:type="dxa" w:w="1152"/>
            <w:vAlign w:val="center"/>
            <w:tcMar>
              <w:top w:w="90" w:type="dxa"/>
              <w:start w:w="110" w:type="dxa"/>
              <w:bottom w:w="90" w:type="dxa"/>
              <w:end w:w="110" w:type="dxa"/>
            </w:tcMar>
            <w:shd w:fill="FFFFFF"/>
          </w:tcPr>
          <w:p>
            <w:pPr>
              <w:spacing w:after="0" w:line="240" w:lineRule="auto"/>
            </w:pPr>
            <w:r>
              <w:rPr>
                <w:rFonts w:ascii="Arial" w:hAnsi="Arial"/>
                <w:b w:val="0"/>
                <w:color w:val="000000"/>
                <w:sz w:val="16"/>
              </w:rPr>
              <w:t>v1.0</w:t>
            </w:r>
          </w:p>
        </w:tc>
        <w:tc>
          <w:tcPr>
            <w:tcW w:type="dxa" w:w="1728"/>
            <w:vAlign w:val="center"/>
            <w:tcMar>
              <w:top w:w="90" w:type="dxa"/>
              <w:start w:w="110" w:type="dxa"/>
              <w:bottom w:w="90" w:type="dxa"/>
              <w:end w:w="110" w:type="dxa"/>
            </w:tcMar>
            <w:shd w:fill="FFFFFF"/>
          </w:tcPr>
          <w:p>
            <w:pPr>
              <w:spacing w:after="0" w:line="240" w:lineRule="auto"/>
            </w:pPr>
            <w:r>
              <w:rPr>
                <w:rFonts w:ascii="Arial" w:hAnsi="Arial"/>
                <w:b w:val="0"/>
                <w:color w:val="000000"/>
                <w:sz w:val="16"/>
              </w:rPr>
              <w:t>2026-08-13</w:t>
            </w:r>
          </w:p>
        </w:tc>
        <w:tc>
          <w:tcPr>
            <w:tcW w:type="dxa" w:w="6912"/>
            <w:vAlign w:val="center"/>
            <w:tcMar>
              <w:top w:w="90" w:type="dxa"/>
              <w:start w:w="110" w:type="dxa"/>
              <w:bottom w:w="90" w:type="dxa"/>
              <w:end w:w="110" w:type="dxa"/>
            </w:tcMar>
            <w:shd w:fill="FFFFFF"/>
          </w:tcPr>
          <w:p>
            <w:pPr>
              <w:spacing w:after="0" w:line="240" w:lineRule="auto"/>
            </w:pPr>
            <w:r>
              <w:rPr>
                <w:rFonts w:ascii="Arial" w:hAnsi="Arial"/>
                <w:b w:val="0"/>
                <w:color w:val="000000"/>
                <w:sz w:val="16"/>
              </w:rPr>
              <w:t>Historical complete edition</w:t>
            </w:r>
          </w:p>
        </w:tc>
      </w:tr>
      <w:tr>
        <w:trPr>
          <w:cantSplit/>
        </w:trPr>
        <w:tc>
          <w:tcPr>
            <w:tcW w:type="dxa" w:w="1152"/>
            <w:vAlign w:val="center"/>
            <w:tcMar>
              <w:top w:w="90" w:type="dxa"/>
              <w:start w:w="110" w:type="dxa"/>
              <w:bottom w:w="90" w:type="dxa"/>
              <w:end w:w="110" w:type="dxa"/>
            </w:tcMar>
            <w:shd w:fill="F3F7FA"/>
          </w:tcPr>
          <w:p>
            <w:pPr>
              <w:spacing w:after="0" w:line="240" w:lineRule="auto"/>
            </w:pPr>
            <w:r>
              <w:rPr>
                <w:rFonts w:ascii="Arial" w:hAnsi="Arial"/>
                <w:b w:val="0"/>
                <w:color w:val="000000"/>
                <w:sz w:val="16"/>
              </w:rPr>
              <w:t>v2.0</w:t>
            </w:r>
          </w:p>
        </w:tc>
        <w:tc>
          <w:tcPr>
            <w:tcW w:type="dxa" w:w="1728"/>
            <w:vAlign w:val="center"/>
            <w:tcMar>
              <w:top w:w="90" w:type="dxa"/>
              <w:start w:w="110" w:type="dxa"/>
              <w:bottom w:w="90" w:type="dxa"/>
              <w:end w:w="110" w:type="dxa"/>
            </w:tcMar>
            <w:shd w:fill="F3F7FA"/>
          </w:tcPr>
          <w:p>
            <w:pPr>
              <w:spacing w:after="0" w:line="240" w:lineRule="auto"/>
            </w:pPr>
            <w:r>
              <w:rPr>
                <w:rFonts w:ascii="Arial" w:hAnsi="Arial"/>
                <w:b w:val="0"/>
                <w:color w:val="000000"/>
                <w:sz w:val="16"/>
              </w:rPr>
              <w:t>2026-09-04</w:t>
            </w:r>
          </w:p>
        </w:tc>
        <w:tc>
          <w:tcPr>
            <w:tcW w:type="dxa" w:w="6912"/>
            <w:vAlign w:val="center"/>
            <w:tcMar>
              <w:top w:w="90" w:type="dxa"/>
              <w:start w:w="110" w:type="dxa"/>
              <w:bottom w:w="90" w:type="dxa"/>
              <w:end w:w="110" w:type="dxa"/>
            </w:tcMar>
            <w:shd w:fill="F3F7FA"/>
          </w:tcPr>
          <w:p>
            <w:pPr>
              <w:spacing w:after="0" w:line="240" w:lineRule="auto"/>
            </w:pPr>
            <w:r>
              <w:rPr>
                <w:rFonts w:ascii="Arial" w:hAnsi="Arial"/>
                <w:b w:val="0"/>
                <w:color w:val="000000"/>
                <w:sz w:val="16"/>
              </w:rPr>
              <w:t>Vollständige konsolidierte Fassung erstellt. Semantische Korrekturen sind in den Haupttext integriert; wiederholte Titelblöcke, mehrdeutige Diagramme und zu dichte Tabellen der alten Fassung wurden entfernt.</w:t>
            </w:r>
          </w:p>
        </w:tc>
      </w:tr>
    </w:tbl>
    <w:p>
      <w:pPr>
        <w:widowControl/>
        <w:spacing w:after="40"/>
      </w:pPr>
    </w:p>
    <w:sectPr w:rsidR="00FC693F" w:rsidRPr="0006063C" w:rsidSect="00034616">
      <w:headerReference w:type="default" r:id="rId9"/>
      <w:footerReference w:type="default" r:id="rId10"/>
      <w:pgSz w:w="11906" w:h="16838"/>
      <w:pgMar w:top="907" w:right="1020" w:bottom="907" w:left="1020"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 xml:space="preserve">ADR-007   DE   v2.0   </w:t>
    </w:r>
    <w:r>
      <w:rPr>
        <w:rFonts w:ascii="Arial" w:hAnsi="Arial"/>
        <w:sz w:val="16"/>
      </w:rPr>
      <w:fldChar w:fldCharType="begin"/>
      <w:instrText xml:space="preserve"> PAGE </w:instrText>
      <w:fldChar w:fldCharType="separate"/>
      <w:t>1</w:t>
      <w:fldChar w:fldCharType="end"/>
    </w:r>
    <w:r>
      <w:rPr>
        <w:sz w:val="16"/>
      </w:rPr>
      <w:t xml:space="preserve"> / </w:t>
    </w:r>
    <w:r>
      <w:rPr>
        <w:rFonts w:ascii="Arial" w:hAnsi="Arial"/>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5"/>
      </w:rPr>
      <w:t>World Engine   ADR-007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Arial" w:hAnsi="Arial" w:eastAsia="Arial"/>
      <w:b w:val="0"/>
      <w:i w:val="0"/>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80"/>
      <w:contextualSpacing/>
      <w:jc w:val="center"/>
    </w:pPr>
    <w:rPr>
      <w:rFonts w:asciiTheme="majorHAnsi" w:eastAsiaTheme="majorEastAsia" w:hAnsiTheme="majorHAnsi" w:cstheme="majorBidi" w:ascii="Arial" w:hAnsi="Arial" w:eastAsia="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Arial" w:hAnsi="Arial" w:eastAsia="Arial"/>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2" w:hanging="142"/>
      <w:contextualSpacing/>
    </w:pPr>
    <w:rPr>
      <w:rFonts w:ascii="Arial" w:hAnsi="Arial" w:eastAsia="Arial"/>
      <w:b w:val="0"/>
      <w:i w:val="0"/>
      <w:color w:val="000000"/>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Path">
    <w:name w:val="Code Path"/>
    <w:pPr>
      <w:keepLines/>
      <w:spacing w:before="40" w:after="60"/>
      <w:ind w:left="312"/>
    </w:pPr>
    <w:rPr>
      <w:rFonts w:ascii="Consolas" w:hAnsi="Consolas" w:eastAsia="Consolas"/>
      <w:b w:val="0"/>
      <w:i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ADR-007 Unterstützung mehrerer Spiele</dc:title>
  <dc:subject>World Engine architecture decision v2.0</dc:subject>
  <dc:creator>Andrii Drahulskyi</dc:creator>
  <cp:keywords>World Engine, ADR, architecture, audited, consolidated</cp:keywords>
  <dc:description>Full consolidated architecture-audited edition</dc:description>
  <cp:lastModifiedBy/>
  <cp:revision>1</cp:revision>
  <dcterms:created xsi:type="dcterms:W3CDTF">2013-12-23T23:15:00Z</dcterms:created>
  <dcterms:modified xsi:type="dcterms:W3CDTF">2013-12-23T23:15:00Z</dcterms:modified>
  <cp:category/>
</cp:coreProperties>
</file>