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ARCHITECTURE DECISION RECORD</w:t>
      </w:r>
    </w:p>
    <w:p>
      <w:pPr>
        <w:pStyle w:val="Title"/>
      </w:pPr>
      <w:r>
        <w:rPr>
          <w:rFonts w:ascii="Arial" w:hAnsi="Arial" w:eastAsia="Arial"/>
          <w:b/>
          <w:color w:val="17324D"/>
          <w:sz w:val="42"/>
        </w:rPr>
        <w:t>ADR-007 — Multi-Game Support</w:t>
      </w:r>
    </w:p>
    <w:p>
      <w:pPr>
        <w:pStyle w:val="Subtitle"/>
      </w:pPr>
      <w:r>
        <w:rPr>
          <w:rFonts w:ascii="Arial" w:hAnsi="Arial" w:eastAsia="Arial"/>
          <w:b/>
          <w:color w:val="138A8A"/>
          <w:sz w:val="22"/>
        </w:rPr>
        <w:t>Amendment v1.1 · Ownership von Ingress-/Output-Ports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2665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Feld</w:t>
            </w:r>
          </w:p>
        </w:tc>
        <w:tc>
          <w:tcPr>
            <w:tcW w:type="dxa" w:w="674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Wert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Sprache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DE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Status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Proposed — Architecture Audited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Datum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Übergeordnete Entscheidung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ADR-007 v1.0</w:t>
            </w:r>
          </w:p>
        </w:tc>
      </w:tr>
      <w:tr>
        <w:trPr>
          <w:cantSplit/>
        </w:trPr>
        <w:tc>
          <w:tcPr>
            <w:tcW w:type="dxa" w:w="2665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Geltungsbereich</w:t>
            </w:r>
          </w:p>
        </w:tc>
        <w:tc>
          <w:tcPr>
            <w:tcW w:type="dxa" w:w="6746"/>
            <w:shd w:fill="F2F5F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Amendment</w:t>
            </w:r>
          </w:p>
        </w:tc>
      </w:tr>
      <w:tr>
        <w:trPr>
          <w:cantSplit/>
        </w:trP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Ziel-Release</w:t>
            </w:r>
          </w:p>
        </w:tc>
        <w:tc>
          <w:tcPr>
            <w:tcW w:type="dxa" w:w="674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World Engine Version 1.x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1. Zweck</w:t>
      </w:r>
    </w:p>
    <w:p>
      <w:pPr>
        <w:keepLines/>
      </w:pPr>
      <w:r>
        <w:rPr>
          <w:rFonts w:ascii="Arial" w:hAnsi="Arial" w:eastAsia="Arial"/>
          <w:sz w:val="19"/>
        </w:rPr>
        <w:t>Das Amendment bewahrt den gemeinsamen game-agnostischen Core und das Adapter-per-Game-Modell, beseitigt aber den statischen Zyklus, der zuvor hinter einem bidirektionalen Runtime Flow verborgen war.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2. Entscheidung</w:t>
      </w:r>
    </w:p>
    <w:p>
      <w:pPr>
        <w:keepLines/>
      </w:pPr>
      <w:r>
        <w:rPr>
          <w:rFonts w:ascii="Arial" w:hAnsi="Arial" w:eastAsia="Arial"/>
          <w:sz w:val="19"/>
        </w:rPr>
        <w:t>Game Ingress Port gehört zur Application-/Core-Grenze und wird vom Game Adapter für normalisierte Observations/Events/Commands aufgerufen. Game Output/Capability Port gehört zur Application-/Integration-Contract-Grenze und wird vom Game Adapter implementiert.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3. Verbindliche Regeln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Runtime Calls dürfen bidirektional sein; Source-Code-Abhängigkeiten zeigen zu Abstraktionen und bleiben azyklisch.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Domain Modules importieren weder Game-Adapter-Typen noch Skyrim-SDK-Typen oder game-spezifische Schemas.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Capability Checks liegen in integration-aware Application-/Coordination-Code, nicht in generischer Domain Logic.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Host/Composition Root besitzt Auswahl des Game Profile, Erzeugung des Adapters und Lifecycle Wiring.</w:t>
      </w:r>
    </w:p>
    <w:p>
      <w:r>
        <w:br w:type="page"/>
      </w:r>
    </w:p>
    <w:p>
      <w:pPr>
        <w:spacing w:after="40"/>
      </w:pPr>
      <w:r>
        <w:rPr>
          <w:rFonts w:ascii="Arial" w:hAnsi="Arial" w:eastAsia="Arial"/>
          <w:b/>
          <w:color w:val="138A8A"/>
          <w:sz w:val="17"/>
        </w:rPr>
        <w:t>ADR-007 · Multi-Game Support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Normative Auslegung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Game Adapter besitzt die Übersetzung zwischen Game Runtime und normalisierten Contracts, nicht jedoch die Domain Truth von World Engine.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In v1.0 ist eine Game Profile/Session aktiv; Cross-Game Portability ist selektiv und wird validiert.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Unsupported Capability liefert ein explizites Ergebnis und führt weder zu Silent Fallback noch zur Umgehung der Adapter-Grenze.</w:t>
      </w:r>
    </w:p>
    <w:p>
      <w:pPr>
        <w:pStyle w:val="ListBullet"/>
        <w:keepLines/>
      </w:pPr>
      <w:r>
        <w:rPr>
          <w:rFonts w:ascii="Arial" w:hAnsi="Arial" w:eastAsia="Arial"/>
          <w:sz w:val="18"/>
        </w:rPr>
        <w:t>Adapter Failure wird isoliert und darf keinen ungültigen Domain State teilweise aktivieren.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4. Folgen und Kontrolle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  <w:tblHeader w:val="true"/>
        </w:trPr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Folge</w:t>
            </w:r>
          </w:p>
        </w:tc>
        <w:tc>
          <w:tcPr>
            <w:tcW w:type="dxa" w:w="4706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Konformitätsprüfung</w:t>
            </w:r>
          </w:p>
        </w:tc>
      </w:tr>
      <w:tr>
        <w:trPr>
          <w:cantSplit/>
        </w:trPr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Explizites Port-Ownership ermöglicht neue Spiele ohne Core-Fork und macht das Fehlen von Implementierungszyklen mechanisch prüfbar.</w:t>
            </w:r>
          </w:p>
        </w:tc>
        <w:tc>
          <w:tcPr>
            <w:tcW w:type="dxa" w:w="470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Implementierungsänderungen müssen durch Architecture Tests, Dependency-Graph-Validierung und Review der Vertragsinhaber bestätigt werden.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5. Historischer Status und Supersession</w:t>
      </w:r>
    </w:p>
    <w:p>
      <w:pPr>
        <w:keepLines/>
      </w:pPr>
      <w:r>
        <w:rPr>
          <w:rFonts w:ascii="Arial" w:hAnsi="Arial" w:eastAsia="Arial"/>
          <w:sz w:val="19"/>
        </w:rPr>
        <w:t>Das ursprüngliche ADR v1.0 bleibt eine historische Entscheidungsaufzeichnung. Dieses Amendment/diese Klarstellung definiert die normative Auslegung für World Engine Version 1.x und schreibt die Ursprungsdatei nicht um.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6. Traceability</w:t>
      </w:r>
    </w:p>
    <w:p>
      <w:pPr>
        <w:keepLines/>
      </w:pPr>
      <w:r>
        <w:rPr>
          <w:rFonts w:ascii="Arial" w:hAnsi="Arial" w:eastAsia="Arial"/>
          <w:sz w:val="19"/>
        </w:rPr>
        <w:t>AUDIT-007 §9; AUD-008; ADR-008; ARCH-004 v1.4; ARCH-005 v1.4; ARCH-006 v1.2.</w:t>
      </w:r>
    </w:p>
    <w:p>
      <w:pPr>
        <w:pStyle w:val="Heading1"/>
        <w:keepNext/>
      </w:pPr>
      <w:r>
        <w:rPr>
          <w:rFonts w:ascii="Arial" w:hAnsi="Arial" w:eastAsia="Arial"/>
          <w:b/>
          <w:color w:val="17324D"/>
          <w:sz w:val="28"/>
        </w:rPr>
        <w:t>7. 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 w:val="true"/>
        </w:trPr>
        <w:tc>
          <w:tcPr>
            <w:tcW w:type="dxa" w:w="1247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14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6350"/>
            <w:shd w:fill="17324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v1.1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2026-09-04</w:t>
            </w:r>
          </w:p>
        </w:tc>
        <w:tc>
          <w:tcPr>
            <w:tcW w:type="dxa" w:w="63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Rebuilt audited amendment/clarification from the approved repository audit baseline; no historical ADR was modified.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879" w:right="964" w:bottom="822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36273"/>
        <w:sz w:val="16"/>
      </w:rPr>
      <w:t xml:space="preserve">World Engine · Architecture Audit ·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color w:val="536273"/>
        <w:sz w:val="16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8A8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Arial"/>
      <w:b/>
      <w:i/>
      <w:iCs/>
      <w:color w:val="138A8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5" w:lineRule="auto"/>
      <w:ind w:left="312" w:hanging="159"/>
      <w:contextualSpacing/>
    </w:pPr>
    <w:rPr>
      <w:rFonts w:ascii="Arial" w:hAnsi="Arial" w:eastAsia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0" w:after="40"/>
    </w:pPr>
    <w:rPr>
      <w:rFonts w:ascii="Arial" w:hAnsi="Arial" w:eastAsia="Arial"/>
      <w:b w:val="0"/>
      <w:bCs/>
      <w:color w:val="536273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before="40" w:after="80"/>
      <w:ind w:left="198" w:right="198"/>
    </w:pPr>
    <w:rPr>
      <w:rFonts w:ascii="Consolas" w:hAnsi="Consolas" w:eastAsia="Consolas"/>
      <w:b w:val="0"/>
      <w:color w:val="17324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ADR-007 — Multi-Game Support — Amendment v1.1 (DE)</dc:title>
  <dc:subject>World Engine architecture decision audit</dc:subject>
  <dc:creator>Andrii Drahulskyi</dc:creator>
  <cp:keywords>World Engine, ADR, architecture audit</cp:keywords>
  <dc:description>Rebuilt from the approved architecture audit baseline; historical ADR files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