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etter-to-the-editor"/>
    <w:p>
      <w:pPr>
        <w:pStyle w:val="Heading1"/>
      </w:pPr>
      <w:r>
        <w:t xml:space="preserve">Letter to the Editor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Intense Diffuse Thyroid FDG Uptake (SUVmax 14.0) Mimicking Malignancy in Severe Radiation-Induced Hypothyroidism</w:t>
      </w:r>
    </w:p>
    <w:p>
      <w:pPr>
        <w:pStyle w:val="BodyText"/>
      </w:pPr>
      <w:r>
        <w:rPr>
          <w:b/>
          <w:bCs/>
        </w:rPr>
        <w:t xml:space="preserve">Abstract:</w:t>
      </w:r>
      <w:r>
        <w:t xml:space="preserve"> </w:t>
      </w:r>
      <w:r>
        <w:t xml:space="preserve">Incidental thyroid uptake on 18F-FDG PET/CT is a common diagnostic challenge. While focal uptake warrants further detailed workup due to malignancy risk, diffuse uptake is typically associated with benign autoimmunity. We report a 51-year-old post-radiation patient who presented with an SUVmax of 14.0—an intensity suspicious for primary thyroid lymphoma or anaplastic malignancy—but was found to have profound hypothyroidism (TSH &gt; 100 uIU/mL). Review of her history revealed the inadvertent use of Propylthiouracil (PTU) for radiation-induced thyroiditis. High-resolution ultrasound confirmed a structurally benign gland, avoiding unnecessary biopsy. Profound TSH elevation likely induced GLUT-1 transporter upregulation on follicular cell membranes, creating a functional metabolic</w:t>
      </w:r>
      <w:r>
        <w:t xml:space="preserve"> </w:t>
      </w:r>
      <w:r>
        <w:t xml:space="preserve">‘overdrive’</w:t>
      </w:r>
      <w:r>
        <w:t xml:space="preserve"> </w:t>
      </w:r>
      <w:r>
        <w:t xml:space="preserve">despite a structurally normal gland. This case highlights that TSH stimulation alone can drive FDG avidity to levels mimicking malignancy.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FDG PET/CT, Hypothyroidism, Radiation Thyroiditis, Incidentaloma.</w:t>
      </w:r>
    </w:p>
    <w:p>
      <w:pPr>
        <w:pStyle w:val="BodyText"/>
      </w:pPr>
      <w:r>
        <w:rPr>
          <w:b/>
          <w:bCs/>
        </w:rPr>
        <w:t xml:space="preserve">Introduction:</w:t>
      </w:r>
      <w:r>
        <w:t xml:space="preserve"> </w:t>
      </w:r>
      <w:r>
        <w:t xml:space="preserve">Thyroid incidentalomas are detected in 1-2% of PET/CT scans. Clinical differentiation relies heavily on the pattern of uptake: focal lesions carry a malignancy risk of approximately 35%, whereas diffuse uptake is generally benign (~4%)</w:t>
      </w:r>
      <w:r>
        <w:t xml:space="preserve"> </w:t>
      </w:r>
      <w:r>
        <w:t xml:space="preserve">[1]</w:t>
      </w:r>
      <w:r>
        <w:t xml:space="preserve">. However, diagnostic uncertainty arises when the Standardized Uptake Value (SUVmax) exceeds 10, as this high metabolic intensity is a recognized hallmark of primary thyroid lymphoma and anaplastic thyroid carcinoma, frequently overlapping with the upper limits of benign inflammatory or functional states.</w:t>
      </w:r>
    </w:p>
    <w:p>
      <w:pPr>
        <w:pStyle w:val="BodyText"/>
      </w:pPr>
      <w:r>
        <w:rPr>
          <w:b/>
          <w:bCs/>
        </w:rPr>
        <w:t xml:space="preserve">Case Report:</w:t>
      </w:r>
      <w:r>
        <w:t xml:space="preserve"> </w:t>
      </w:r>
      <w:r>
        <w:t xml:space="preserve">A 51-year-old female presented in February 2026 with fatigue and weight gain. She had completed surgery and radiotherapy for carcinoma of the buccal mucosa one year prior (February 2025).</w:t>
      </w:r>
    </w:p>
    <w:p>
      <w:pPr>
        <w:pStyle w:val="BodyText"/>
      </w:pPr>
      <w:r>
        <w:t xml:space="preserve">Review of records from an outside facility showed she had been treated with Propylthiouracil (PTU) 100 mg BD for presumed hyperthyroidism. The initial thyroid function tests (TFTs) post-radiation showed a</w:t>
      </w:r>
      <w:r>
        <w:t xml:space="preserve"> </w:t>
      </w:r>
      <w:r>
        <w:rPr>
          <w:b/>
          <w:bCs/>
        </w:rPr>
        <w:t xml:space="preserve">TSH &lt; 0.0001 uIU/mL</w:t>
      </w:r>
      <w:r>
        <w:t xml:space="preserve">,</w:t>
      </w:r>
      <w:r>
        <w:t xml:space="preserve"> </w:t>
      </w:r>
      <w:r>
        <w:rPr>
          <w:b/>
          <w:bCs/>
        </w:rPr>
        <w:t xml:space="preserve">Total T4 30 ug/dL</w:t>
      </w:r>
      <w:r>
        <w:t xml:space="preserve"> </w:t>
      </w:r>
      <w:r>
        <w:t xml:space="preserve">(4.5–12.0), and</w:t>
      </w:r>
      <w:r>
        <w:t xml:space="preserve"> </w:t>
      </w:r>
      <w:r>
        <w:rPr>
          <w:b/>
          <w:bCs/>
        </w:rPr>
        <w:t xml:space="preserve">Total T3 212 ng/dL</w:t>
      </w:r>
      <w:r>
        <w:t xml:space="preserve"> </w:t>
      </w:r>
      <w:r>
        <w:t xml:space="preserve">(80–200). In retrospect, the</w:t>
      </w:r>
      <w:r>
        <w:t xml:space="preserve"> </w:t>
      </w:r>
      <w:r>
        <w:rPr>
          <w:b/>
          <w:bCs/>
        </w:rPr>
        <w:t xml:space="preserve">T3/T4 ratio was 7.0</w:t>
      </w:r>
      <w:r>
        <w:t xml:space="preserve"> </w:t>
      </w:r>
      <w:r>
        <w:t xml:space="preserve">(212/30), which is consistent with destructive thyroiditis rather than Graves’ disease</w:t>
      </w:r>
      <w:r>
        <w:t xml:space="preserve"> </w:t>
      </w:r>
      <w:r>
        <w:t xml:space="preserve">[2]</w:t>
      </w:r>
      <w:r>
        <w:t xml:space="preserve">. The initiation of PTU, indicated only for hyperthyroidism (synthesis) and not destructive thyrotoxicosis</w:t>
      </w:r>
      <w:r>
        <w:t xml:space="preserve"> </w:t>
      </w:r>
      <w:r>
        <w:t xml:space="preserve">[3]</w:t>
      </w:r>
      <w:r>
        <w:t xml:space="preserve">, likely blocked recovery and accelerated the progression to hypothyroidism. PTU was discontinued 6 months ago.</w:t>
      </w:r>
    </w:p>
    <w:p>
      <w:pPr>
        <w:pStyle w:val="BodyText"/>
      </w:pPr>
      <w:r>
        <w:t xml:space="preserve">Current evaluation revealed profound hypothyroidism:</w:t>
      </w:r>
      <w:r>
        <w:t xml:space="preserve"> </w:t>
      </w:r>
      <w:r>
        <w:rPr>
          <w:b/>
          <w:bCs/>
        </w:rPr>
        <w:t xml:space="preserve">TSH &gt; 100 uIU/mL</w:t>
      </w:r>
      <w:r>
        <w:t xml:space="preserve">,</w:t>
      </w:r>
      <w:r>
        <w:t xml:space="preserve"> </w:t>
      </w:r>
      <w:r>
        <w:rPr>
          <w:b/>
          <w:bCs/>
        </w:rPr>
        <w:t xml:space="preserve">Total T4 0.97 ug/dL</w:t>
      </w:r>
      <w:r>
        <w:t xml:space="preserve">, and</w:t>
      </w:r>
      <w:r>
        <w:t xml:space="preserve"> </w:t>
      </w:r>
      <w:r>
        <w:rPr>
          <w:b/>
          <w:bCs/>
        </w:rPr>
        <w:t xml:space="preserve">Total T3 0.2 ng/dL</w:t>
      </w:r>
      <w:r>
        <w:t xml:space="preserve">. TSH Receptor Antibodies were negative. A surveillance PET/CT showed intense, symmetric diffuse uptake in the thyroid with an</w:t>
      </w:r>
      <w:r>
        <w:t xml:space="preserve"> </w:t>
      </w:r>
      <w:r>
        <w:rPr>
          <w:b/>
          <w:bCs/>
        </w:rPr>
        <w:t xml:space="preserve">SUVmax of 14.0</w:t>
      </w:r>
      <w:r>
        <w:t xml:space="preserve">. High-resolution ultrasound showed a gland of preserved volume with heterogeneous echotexture but no focal nodules. Biopsy was deferred, and Levothyroxine was initiated.</w:t>
      </w:r>
    </w:p>
    <w:p>
      <w:pPr>
        <w:pStyle w:val="BodyText"/>
      </w:pPr>
      <w:r>
        <w:rPr>
          <w:b/>
          <w:bCs/>
        </w:rPr>
        <w:t xml:space="preserve">Discussion:</w:t>
      </w:r>
      <w:r>
        <w:t xml:space="preserve"> </w:t>
      </w:r>
      <w:r>
        <w:t xml:space="preserve">The magnitude of FDG uptake in this case (SUVmax 14.0) is the primary diagnostic confounder. While diffuse thyroidal FDG avidity is a characteristic feature of autoimmune thyroiditis, values exceeding 10.0 are statistically rare in benign disease and clinically necessitate the exclusion of high-grade malignancy.</w:t>
      </w:r>
    </w:p>
    <w:p>
      <w:pPr>
        <w:pStyle w:val="BodyText"/>
      </w:pPr>
      <w:r>
        <w:t xml:space="preserve">The mechanism here is physiological. TSH stimulates glucose uptake in thyroid follicular cells by upregulating GLUT-1 transporters</w:t>
      </w:r>
      <w:r>
        <w:t xml:space="preserve"> </w:t>
      </w:r>
      <w:r>
        <w:t xml:space="preserve">[4,5]</w:t>
      </w:r>
      <w:r>
        <w:t xml:space="preserve">. In this patient, the</w:t>
      </w:r>
      <w:r>
        <w:t xml:space="preserve"> </w:t>
      </w:r>
      <w:r>
        <w:t xml:space="preserve">“double hit”</w:t>
      </w:r>
      <w:r>
        <w:t xml:space="preserve"> </w:t>
      </w:r>
      <w:r>
        <w:t xml:space="preserve">of radiation damage and PTU-induced blockade resulted in uninhibited TSH secretion (&gt;100), driving thyrocytes to maximal metabolic capacity.</w:t>
      </w:r>
    </w:p>
    <w:p>
      <w:pPr>
        <w:pStyle w:val="BodyText"/>
      </w:pPr>
      <w:r>
        <w:t xml:space="preserve">Pruthi et al. identified that over 84% of patients with incidental diffuse thyroid FDG uptake have underlying thyroid dysfunction</w:t>
      </w:r>
      <w:r>
        <w:t xml:space="preserve"> </w:t>
      </w:r>
      <w:r>
        <w:t xml:space="preserve">[6]</w:t>
      </w:r>
      <w:r>
        <w:t xml:space="preserve">. While they found no linear correlation between absolute TSH levels and SUVmax, their findings establish diffuse avidity as a strong clinical indicator of hypothyroidism, justifying biochemical evaluation over immediate biopsy.</w:t>
      </w:r>
    </w:p>
    <w:p>
      <w:pPr>
        <w:pStyle w:val="BodyText"/>
      </w:pPr>
      <w:r>
        <w:t xml:space="preserve">In radiation-induced thyroiditis, TSH suppression typically attenuates the functional component of FDG avidity; however, the metabolic signal may remain elevated due to chronic actinic inflammation and tissue remodeling. Provided the ultrasound confirms a structurally benign gland without focal masses, a persistent metabolic signal should be managed with clinical surveillance rather than immediate intervention, as radiation-damaged thyrocytes may remain hypermetabolic long after biochemical euthyroidism is achieved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Severe elevation of TSH can produce thyroid FDG avidity (SUVmax &gt; 10) that mimics high-grade malignancy. Clinicians should correlate PET findings with thyroid function tests and ultrasound morphology to avoid unnecessary invasive procedures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Legend:</w:t>
      </w:r>
      <w:r>
        <w:t xml:space="preserve"> </w:t>
      </w:r>
      <w:r>
        <w:rPr>
          <w:b/>
          <w:bCs/>
        </w:rPr>
        <w:t xml:space="preserve">Figure 1:</w:t>
      </w:r>
      <w:r>
        <w:t xml:space="preserve"> </w:t>
      </w:r>
      <w:r>
        <w:t xml:space="preserve">(A) Coronal fused PET/CT showing intense diffuse FDG uptake (SUVmax 14.0). (B) High-resolution ultrasound showing preserved thyroid volume without focal nodularity.</w:t>
      </w:r>
    </w:p>
    <w:bookmarkStart w:id="28" w:name="refs"/>
    <w:bookmarkStart w:id="20" w:name="ref-soelberg201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Soelberg K, Bonnema S, Brix T, Hegedüs L. Risk of malignancy in thyroid incidentalomas detected by 18F-fluorodeoxyglucose positron emission tomography: A systematic review. Thyroid 2012; 22(9) :918–25.</w:t>
      </w:r>
      <w:r>
        <w:t xml:space="preserve"> </w:t>
      </w:r>
    </w:p>
    <w:bookmarkEnd w:id="20"/>
    <w:bookmarkStart w:id="21" w:name="ref-amino198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Amino N, Yabu Y, Miki T, et al. Serum ratio of triiodothyronine to thyroxine, and thyroxine-binding globulin and calcitonin concentrations in graves’ disease and destruction-induced thyrotoxicosis. J Clin Endocrinol Metab 1981; 53(1) :113–6.</w:t>
      </w:r>
      <w:r>
        <w:t xml:space="preserve"> </w:t>
      </w:r>
    </w:p>
    <w:bookmarkEnd w:id="21"/>
    <w:bookmarkStart w:id="22" w:name="ref-ross201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Ross D, Burch H, Cooper D, et al. 2016 american thyroid association guidelines for diagnosis and management of hyperthyroidism and other causes of thyrotoxicosis. Thyroid 2016; 26(10) :1343–421.</w:t>
      </w:r>
      <w:r>
        <w:t xml:space="preserve"> </w:t>
      </w:r>
    </w:p>
    <w:bookmarkEnd w:id="22"/>
    <w:bookmarkStart w:id="23" w:name="ref-chin200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Chin B, Patel P, Cohade C, et al. Recombinant human thyrotropin stimulation of fluoro-d-glucose positron emission tomography uptake in well-differentiated thyroid carcinoma. J Clin Endocrinol Metab 2004; 89(1) :91–5.</w:t>
      </w:r>
      <w:r>
        <w:t xml:space="preserve"> </w:t>
      </w:r>
    </w:p>
    <w:bookmarkEnd w:id="23"/>
    <w:bookmarkStart w:id="24" w:name="ref-haber1997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Haber R, Weiser K, Pritsker A, et al. GLUT1 glucose transporter expression in benign and malignant thyroid nodules. Thyroid 1997; 7(3) :363–7.</w:t>
      </w:r>
      <w:r>
        <w:t xml:space="preserve"> </w:t>
      </w:r>
    </w:p>
    <w:bookmarkEnd w:id="24"/>
    <w:bookmarkStart w:id="25" w:name="ref-pruthi2015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Pruthi A, Choudhury P, Gupta M, et al. Does the intensity of diffuse thyroid gland uptake on f-18 FDG PET/CT predict the severity of hypothyroidism? Indian J Nucl Med 2015; 30(1) :16–20.</w:t>
      </w:r>
      <w:r>
        <w:t xml:space="preserve"> </w:t>
      </w:r>
    </w:p>
    <w:bookmarkEnd w:id="25"/>
    <w:bookmarkStart w:id="26" w:name="ref-karantanis2007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Karantanis D, Bogsrud T, Wiseman G, et al. Clinical significance of diffusely increased 18F-FDG uptake in the thyroid gland. J Nucl Med 2007; 48(6) :896–901.</w:t>
      </w:r>
      <w:r>
        <w:t xml:space="preserve"> </w:t>
      </w:r>
    </w:p>
    <w:bookmarkEnd w:id="26"/>
    <w:bookmarkStart w:id="27" w:name="ref-kim2019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Kim Y, Chang Y, Kim Y, et al. Diffusely increased 18F-FDG uptake in the thyroid gland and risk of thyroid dysfunction. J Clin Med 2019; 8(4) :443.</w:t>
      </w:r>
      <w:r>
        <w:t xml:space="preserve"> 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2026-02-18T04:00:07Z</dcterms:created>
  <dcterms:modified xsi:type="dcterms:W3CDTF">2026-02-18T04:00:07Z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thyreferfinal.bib</vt:lpwstr>
  </property>
  <property fmtid="{D5CDD505-2E9C-101B-9397-08002B2CF9AE}" pid="4" name="csl">
    <vt:lpwstr>vancouver.csl</vt:lpwstr>
  </property>
  <property fmtid="{D5CDD505-2E9C-101B-9397-08002B2CF9AE}" pid="5" name="fontsize">
    <vt:lpwstr>14pt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mainfont">
    <vt:lpwstr>Times New Roman</vt:lpwstr>
  </property>
  <property fmtid="{D5CDD505-2E9C-101B-9397-08002B2CF9AE}" pid="11" name="toc-title">
    <vt:lpwstr>Table of contents</vt:lpwstr>
  </property>
</Properties>
</file>