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83029dfd013d8b52802b5a451bd02d36463878"/>
    <w:p>
      <w:pPr>
        <w:pStyle w:val="Heading1"/>
      </w:pPr>
      <w:r>
        <w:t xml:space="preserve">The Metabolic Mirage: High FDG Avidity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14) in Severe Radiation-Induced Hypothyroidism with Normal Ultrasound</w:t>
      </w:r>
    </w:p>
    <w:p>
      <w:pPr>
        <w:pStyle w:val="FirstParagraph"/>
      </w:pPr>
      <w:r>
        <w:rPr>
          <w:b/>
          <w:bCs/>
        </w:rPr>
        <w:t xml:space="preserve">Dr. Ajay Shukla</w:t>
      </w:r>
      <w:r>
        <w:t xml:space="preserve">¹,</w:t>
      </w:r>
      <w:r>
        <w:t xml:space="preserve"> </w:t>
      </w:r>
      <w:r>
        <w:rPr>
          <w:b/>
          <w:bCs/>
        </w:rPr>
        <w:t xml:space="preserve">Dr. Gargi Tignath Shukla</w:t>
      </w:r>
      <w:r>
        <w:t xml:space="preserve">²</w:t>
      </w:r>
    </w:p>
    <w:p>
      <w:pPr>
        <w:pStyle w:val="BodyText"/>
      </w:pPr>
      <w:r>
        <w:t xml:space="preserve">¹Department of Endocrinology, Max Super Speciality Hospital, Lucknow, Uttar Pradesh, India</w:t>
      </w:r>
      <w:r>
        <w:t xml:space="preserve"> </w:t>
      </w:r>
      <w:r>
        <w:t xml:space="preserve">²Associate Professor, Hind Institute of Medical Sciences, Barabanki, Uttar Pradesh, India</w:t>
      </w:r>
    </w:p>
    <w:p>
      <w:pPr>
        <w:pStyle w:val="BodyText"/>
      </w:pPr>
      <w:r>
        <w:rPr>
          <w:b/>
          <w:bCs/>
        </w:rPr>
        <w:t xml:space="preserve">Address for correspondence:</w:t>
      </w:r>
      <w:r>
        <w:t xml:space="preserve"> </w:t>
      </w:r>
      <w:r>
        <w:t xml:space="preserve">Dr. Ajay Shukla, Department of Endocrinology, Max Super Speciality Hospital, Lucknow, Uttar Pradesh, India.</w:t>
      </w:r>
      <w:r>
        <w:t xml:space="preserve"> </w:t>
      </w:r>
      <w:r>
        <w:rPr>
          <w:b/>
          <w:bCs/>
        </w:rPr>
        <w:t xml:space="preserve">E-mail:</w:t>
      </w:r>
      <w:r>
        <w:t xml:space="preserve"> </w:t>
      </w:r>
      <w:r>
        <w:t xml:space="preserve">dr.ajayshukla@gmail.com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Incidental thyroid uptake on 18F-FDG PET/CT poses a diagnostic dilemma. While focal uptake carries a high malignancy risk, diffuse uptake is generally benign. We report a rare case of intense diffuse uptake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14.0) mimicking malignancy in a post-radiation patient.</w:t>
      </w:r>
    </w:p>
    <w:p>
      <w:pPr>
        <w:pStyle w:val="BodyText"/>
      </w:pPr>
      <w:r>
        <w:rPr>
          <w:b/>
          <w:bCs/>
        </w:rPr>
        <w:t xml:space="preserve">Case Presentation:</w:t>
      </w:r>
      <w:r>
        <w:t xml:space="preserve"> </w:t>
      </w:r>
      <w:r>
        <w:t xml:space="preserve">A 51-year-old female treated for carcinoma of the buccal mucosa (surgery and radiotherapy completed Feb 2025) presented with profound hypothyroidism (</w:t>
      </w:r>
      <m:oMath>
        <m:r>
          <m:t>T</m:t>
        </m:r>
        <m:r>
          <m:t>S</m:t>
        </m:r>
        <m:r>
          <m:t>H</m:t>
        </m:r>
        <m:r>
          <m:rPr>
            <m:sty m:val="p"/>
          </m:rPr>
          <m:t>&gt;</m:t>
        </m:r>
        <m:r>
          <m:t>100</m:t>
        </m:r>
        <m:r>
          <m:t>μ</m:t>
        </m:r>
        <m:r>
          <m:t>I</m:t>
        </m:r>
        <m:r>
          <m:t>U</m:t>
        </m:r>
        <m:r>
          <m:rPr>
            <m:sty m:val="p"/>
          </m:rPr>
          <m:t>/</m:t>
        </m:r>
        <m:r>
          <m:t>m</m:t>
        </m:r>
        <m:r>
          <m:t>L</m:t>
        </m:r>
      </m:oMath>
      <w:r>
        <w:t xml:space="preserve">) in Feb 2026. Review of records revealed she was treated with Propylthiouracil (PTU) for post-radiation thyrotoxicosis (</w:t>
      </w:r>
      <m:oMath>
        <m:r>
          <m:t>T</m:t>
        </m:r>
        <m:r>
          <m:t>4</m:t>
        </m:r>
        <m:r>
          <m:t> </m:t>
        </m:r>
        <m:r>
          <m:t>24</m:t>
        </m:r>
        <m:r>
          <m:t> </m:t>
        </m:r>
        <m:r>
          <m:t>m</m:t>
        </m:r>
        <m:r>
          <m:t>c</m:t>
        </m:r>
        <m:r>
          <m:t>g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,</w:t>
      </w:r>
      <w:r>
        <w:t xml:space="preserve"> </w:t>
      </w:r>
      <m:oMath>
        <m:r>
          <m:t>T</m:t>
        </m:r>
        <m:r>
          <m:t>3</m:t>
        </m:r>
        <m:r>
          <m:t> </m:t>
        </m:r>
        <m:r>
          <m:t>256</m:t>
        </m:r>
        <m:r>
          <m:t> </m:t>
        </m:r>
        <m:r>
          <m:t>n</m:t>
        </m:r>
        <m:r>
          <m:t>g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), which was likely destructive in nature. A surveillance PET/CT revealed intense diffuse FDG avidity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14.0), raising suspicion for metastasis or lymphoma. However, high-resolution ultrasound (USG) was benign, and TSH Receptor Antibodies (TRAb) were negative.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t xml:space="preserve">The dissociation between high metabolic activity and normal structural integrity is explained by</w:t>
      </w:r>
      <w:r>
        <w:t xml:space="preserve"> </w:t>
      </w:r>
      <w:r>
        <w:t xml:space="preserve">“First Principles”</w:t>
      </w:r>
      <w:r>
        <w:t xml:space="preserve">: massive TSH stimulation upregulates GLUT-1 glucose transporters on follicular cells, driving FDG uptake. This functional</w:t>
      </w:r>
      <w:r>
        <w:t xml:space="preserve"> </w:t>
      </w:r>
      <w:r>
        <w:t xml:space="preserve">“overdrive”</w:t>
      </w:r>
      <w:r>
        <w:t xml:space="preserve"> </w:t>
      </w:r>
      <w:r>
        <w:t xml:space="preserve">can mimic cancer.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In the presence of severe hypothyroidism, even high-grade diffuse FDG uptake is often physiological. Correlation with ultrasound is critical to avoid unnecessary biopsy.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FDG PET/CT, Hypothyroidism, GLUT-1, Radiation Thyroiditis, Incidentaloma.</w:t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detection of thyroid incidentalomas on 18F-FDG PET/CT is increasingly common. The clinical approach typically dichotomizes findings into</w:t>
      </w:r>
      <w:r>
        <w:t xml:space="preserve"> </w:t>
      </w:r>
      <w:r>
        <w:rPr>
          <w:b/>
          <w:bCs/>
        </w:rPr>
        <w:t xml:space="preserve">focal uptake</w:t>
      </w:r>
      <w:r>
        <w:t xml:space="preserve"> </w:t>
      </w:r>
      <w:r>
        <w:t xml:space="preserve">(malignancy risk ~35%) and</w:t>
      </w:r>
      <w:r>
        <w:t xml:space="preserve"> </w:t>
      </w:r>
      <w:r>
        <w:rPr>
          <w:b/>
          <w:bCs/>
        </w:rPr>
        <w:t xml:space="preserve">diffuse uptake</w:t>
      </w:r>
      <w:r>
        <w:t xml:space="preserve"> </w:t>
      </w:r>
      <w:r>
        <w:t xml:space="preserve">(malignancy risk ~4%).[2]</w:t>
      </w:r>
    </w:p>
    <w:p>
      <w:pPr>
        <w:pStyle w:val="BodyText"/>
      </w:pPr>
      <w:r>
        <w:t xml:space="preserve">However, diagnostic confusion arises when diffuse uptake presents with excessively high Standardized Uptake Values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&gt;</m:t>
        </m:r>
        <m:r>
          <m:t>10</m:t>
        </m:r>
      </m:oMath>
      <w:r>
        <w:t xml:space="preserve">), a range typically associated with aggressive malignancies like Primary Thyroid Lymphoma or Anaplastic Carcinoma.[2] We present a case where physiological analysis—focusing on the effects of TSH on GLUT-1 transporters—prevented invasive workup in a post-cancer patient with an</w:t>
      </w:r>
      <w:r>
        <w:t xml:space="preserve"> 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of 14.0.</w:t>
      </w:r>
    </w:p>
    <w:bookmarkEnd w:id="22"/>
    <w:bookmarkStart w:id="29" w:name="case-report"/>
    <w:p>
      <w:pPr>
        <w:pStyle w:val="Heading1"/>
      </w:pPr>
      <w:r>
        <w:t xml:space="preserve">Case Report</w:t>
      </w:r>
    </w:p>
    <w:p>
      <w:pPr>
        <w:pStyle w:val="FirstParagraph"/>
      </w:pPr>
      <w:r>
        <w:t xml:space="preserve">A 51-year-old female presented to the Endocrine clinic in February 2026 with fatigue and weight gain. She had a known history of</w:t>
      </w:r>
      <w:r>
        <w:t xml:space="preserve"> </w:t>
      </w:r>
      <w:r>
        <w:rPr>
          <w:b/>
          <w:bCs/>
        </w:rPr>
        <w:t xml:space="preserve">Carcinoma of the Left Buccal Mucosa</w:t>
      </w:r>
      <w:r>
        <w:t xml:space="preserve">, managed with composite resection (Nov 2024) followed by 30 cycles of radiotherapy (completed Feb 08, 2025).</w:t>
      </w:r>
    </w:p>
    <w:p>
      <w:pPr>
        <w:pStyle w:val="BodyText"/>
      </w:pPr>
      <w:r>
        <w:rPr>
          <w:b/>
          <w:bCs/>
        </w:rPr>
        <w:t xml:space="preserve">Drug History:</w:t>
      </w:r>
      <w:r>
        <w:t xml:space="preserve"> </w:t>
      </w:r>
      <w:r>
        <w:t xml:space="preserve">Following radiotherapy, she was prescribed</w:t>
      </w:r>
      <w:r>
        <w:t xml:space="preserve"> </w:t>
      </w:r>
      <w:r>
        <w:rPr>
          <w:b/>
          <w:bCs/>
        </w:rPr>
        <w:t xml:space="preserve">Propylthiouracil (PTU) 100 mg BD</w:t>
      </w:r>
      <w:r>
        <w:t xml:space="preserve"> </w:t>
      </w:r>
      <w:r>
        <w:t xml:space="preserve">for 6 months by an outside physician for thyrotoxicosis.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Initial Reports (Post-RT):</w:t>
      </w:r>
      <w:r>
        <w:t xml:space="preserve"> </w:t>
      </w:r>
      <m:oMath>
        <m:r>
          <m:t>T</m:t>
        </m:r>
        <m:r>
          <m:t>S</m:t>
        </m:r>
        <m:r>
          <m:t>H</m:t>
        </m:r>
        <m:r>
          <m:rPr>
            <m:sty m:val="p"/>
          </m:rPr>
          <m:t>&lt;</m:t>
        </m:r>
        <m:r>
          <m:t>0.001</m:t>
        </m:r>
        <m:r>
          <m:t> </m:t>
        </m:r>
        <m:r>
          <m:t>μ</m:t>
        </m:r>
        <m:r>
          <m:t>I</m:t>
        </m:r>
        <m:r>
          <m:t>U</m:t>
        </m:r>
        <m:r>
          <m:rPr>
            <m:sty m:val="p"/>
          </m:rPr>
          <m:t>/</m:t>
        </m:r>
        <m:r>
          <m:t>m</m:t>
        </m:r>
        <m:r>
          <m:t>L</m:t>
        </m:r>
      </m:oMath>
      <w:r>
        <w:t xml:space="preserve">, Total</w:t>
      </w:r>
      <w:r>
        <w:t xml:space="preserve"> </w:t>
      </w:r>
      <m:oMath>
        <m:r>
          <m:t>T</m:t>
        </m:r>
        <m:r>
          <m:t>4</m:t>
        </m:r>
        <m:r>
          <m:t> </m:t>
        </m:r>
        <m:r>
          <m:t>24</m:t>
        </m:r>
        <m:r>
          <m:t> </m:t>
        </m:r>
        <m:r>
          <m:t>m</m:t>
        </m:r>
        <m:r>
          <m:t>c</m:t>
        </m:r>
        <m:r>
          <m:t>g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, Total</w:t>
      </w:r>
      <w:r>
        <w:t xml:space="preserve"> </w:t>
      </w:r>
      <m:oMath>
        <m:r>
          <m:t>T</m:t>
        </m:r>
        <m:r>
          <m:t>3</m:t>
        </m:r>
        <m:r>
          <m:t> </m:t>
        </m:r>
        <m:r>
          <m:t>256</m:t>
        </m:r>
        <m:r>
          <m:t> </m:t>
        </m:r>
        <m:r>
          <m:t>n</m:t>
        </m:r>
        <m:r>
          <m:t>g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Analysis:</w:t>
      </w:r>
      <w:r>
        <w:t xml:space="preserve"> </w:t>
      </w:r>
      <w:r>
        <w:t xml:space="preserve">Retrospective calculation of the</w:t>
      </w:r>
      <w:r>
        <w:t xml:space="preserve"> </w:t>
      </w:r>
      <w:r>
        <w:rPr>
          <w:b/>
          <w:bCs/>
        </w:rPr>
        <w:t xml:space="preserve">T3/T4 ratio</w:t>
      </w:r>
      <w:r>
        <w:t xml:space="preserve"> </w:t>
      </w:r>
      <w:r>
        <w:t xml:space="preserve">(ng/mcg) yielded a value of</w:t>
      </w:r>
      <w:r>
        <w:t xml:space="preserve"> </w:t>
      </w:r>
      <w:r>
        <w:rPr>
          <w:b/>
          <w:bCs/>
        </w:rPr>
        <w:t xml:space="preserve">10.6</w:t>
      </w:r>
      <w:r>
        <w:t xml:space="preserve">, which typically indicates destructive thyroiditis rather than Graves’ disease (</w:t>
      </w:r>
      <m:oMath>
        <m:r>
          <m:rPr>
            <m:sty m:val="p"/>
          </m:rPr>
          <m:t>&gt;</m:t>
        </m:r>
        <m:r>
          <m:t>20</m:t>
        </m:r>
      </m:oMath>
      <w:r>
        <w:t xml:space="preserve">). PTU was stopped in May 2025.</w:t>
      </w:r>
    </w:p>
    <w:p>
      <w:pPr>
        <w:pStyle w:val="BodyText"/>
      </w:pPr>
      <w:r>
        <w:rPr>
          <w:b/>
          <w:bCs/>
        </w:rPr>
        <w:t xml:space="preserve">Biochemical Evaluation (Feb 2026):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TSH:</w:t>
      </w:r>
      <w:r>
        <w:t xml:space="preserve"> </w:t>
      </w:r>
      <m:oMath>
        <m:r>
          <m:rPr>
            <m:sty m:val="p"/>
          </m:rPr>
          <m:t>&gt;</m:t>
        </m:r>
        <m:r>
          <m:t>100</m:t>
        </m:r>
        <m:r>
          <m:t> </m:t>
        </m:r>
        <m:r>
          <m:t>μ</m:t>
        </m:r>
        <m:r>
          <m:t>I</m:t>
        </m:r>
        <m:r>
          <m:t>U</m:t>
        </m:r>
        <m:r>
          <m:rPr>
            <m:sty m:val="p"/>
          </m:rPr>
          <m:t>/</m:t>
        </m:r>
        <m:r>
          <m:t>m</m:t>
        </m:r>
        <m:r>
          <m:t>L</m:t>
        </m:r>
      </m:oMath>
      <w:r>
        <w:t xml:space="preserve"> </w:t>
      </w:r>
      <w:r>
        <w:t xml:space="preserve">(Ref: 0.27–4.2)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Free T4:</w:t>
      </w:r>
      <w:r>
        <w:t xml:space="preserve"> </w:t>
      </w:r>
      <m:oMath>
        <m:r>
          <m:t>0.97</m:t>
        </m:r>
        <m:r>
          <m:t> </m:t>
        </m:r>
        <m:r>
          <m:t>n</m:t>
        </m:r>
        <m:r>
          <m:t>g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 </w:t>
      </w:r>
      <w:r>
        <w:t xml:space="preserve">(Ref: 0.93–1.7)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Free T3:</w:t>
      </w:r>
      <w:r>
        <w:t xml:space="preserve"> </w:t>
      </w:r>
      <m:oMath>
        <m:r>
          <m:t>0.2</m:t>
        </m:r>
        <m:r>
          <m:t> </m:t>
        </m:r>
        <m:r>
          <m:t>p</m:t>
        </m:r>
        <m:r>
          <m:t>g</m:t>
        </m:r>
        <m:r>
          <m:rPr>
            <m:sty m:val="p"/>
          </m:rPr>
          <m:t>/</m:t>
        </m:r>
        <m:r>
          <m:t>m</m:t>
        </m:r>
        <m:r>
          <m:t>L</m:t>
        </m:r>
      </m:oMath>
      <w:r>
        <w:t xml:space="preserve"> </w:t>
      </w:r>
      <w:r>
        <w:t xml:space="preserve">(Ref: 2.0–4.4)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TSH Receptor Antibody (TRAb):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(Ruling out Graves’ disease).</w:t>
      </w:r>
    </w:p>
    <w:p>
      <w:pPr>
        <w:pStyle w:val="BodyText"/>
      </w:pPr>
      <w:r>
        <w:rPr>
          <w:b/>
          <w:bCs/>
        </w:rPr>
        <w:t xml:space="preserve">Imaging Findings (PET/CT - 30.01.2026):</w:t>
      </w:r>
      <w:r>
        <w:t xml:space="preserve"> </w:t>
      </w:r>
      <w:r>
        <w:t xml:space="preserve">An 18F-FDG PET/CT was performed for oncological surveillance.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 &amp; Neck:</w:t>
      </w:r>
      <w:r>
        <w:t xml:space="preserve"> </w:t>
      </w:r>
      <w:r>
        <w:t xml:space="preserve">Post-surgical changes with diffuse mucosal FDG avidity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6.6) in the flap region.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Thyroid:</w:t>
      </w:r>
      <w:r>
        <w:t xml:space="preserve"> </w:t>
      </w:r>
      <w:r>
        <w:rPr>
          <w:b/>
          <w:bCs/>
        </w:rPr>
        <w:t xml:space="preserve">Intense, diffuse FDG avidity</w:t>
      </w:r>
      <w:r>
        <w:t xml:space="preserve"> </w:t>
      </w:r>
      <w:r>
        <w:t xml:space="preserve">was noted in both thyroid lobes with an</w:t>
      </w:r>
      <w:r>
        <w:t xml:space="preserve"> 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14.0</w:t>
      </w:r>
      <w:r>
        <w:t xml:space="preserve"> </w:t>
      </w:r>
      <w:r>
        <w:t xml:space="preserve">(right lobe).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Structural:</w:t>
      </w:r>
      <w:r>
        <w:t xml:space="preserve"> </w:t>
      </w:r>
      <w:r>
        <w:t xml:space="preserve">The CT component showed a morphologically normal thyroid gland.</w:t>
      </w:r>
    </w:p>
    <w:p>
      <w:pPr>
        <w:pStyle w:val="CaptionedFigure"/>
      </w:pPr>
      <w:r>
        <w:drawing>
          <wp:inline>
            <wp:extent cx="4267200" cy="5076787"/>
            <wp:effectExtent b="0" l="0" r="0" t="0"/>
            <wp:docPr descr="Figure 1A: Coronal Fused PET/CT showing intense diffuse FDG uptake in the thyroid gland (SUV_{max} 14.0), mimicking malignancy." title="" id="24" name="Picture"/>
            <a:graphic>
              <a:graphicData uri="http://schemas.openxmlformats.org/drawingml/2006/picture">
                <pic:pic>
                  <pic:nvPicPr>
                    <pic:cNvPr descr="data/image/PETCORONAL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7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1A:</w:t>
      </w:r>
      <w:r>
        <w:t xml:space="preserve"> </w:t>
      </w:r>
      <w:r>
        <w:t xml:space="preserve">Coronal Fused PET/CT showing intense diffuse FDG uptake in the thyroid gland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14.0), mimicking malignancy.</w:t>
      </w:r>
    </w:p>
    <w:p>
      <w:pPr>
        <w:pStyle w:val="BodyText"/>
      </w:pPr>
      <w:r>
        <w:rPr>
          <w:b/>
          <w:bCs/>
        </w:rPr>
        <w:t xml:space="preserve">Ultrasound Neck:</w:t>
      </w:r>
      <w:r>
        <w:t xml:space="preserve"> </w:t>
      </w:r>
      <w:r>
        <w:t xml:space="preserve">Despite the history of radiation, the gland showed</w:t>
      </w:r>
      <w:r>
        <w:t xml:space="preserve"> </w:t>
      </w:r>
      <w:r>
        <w:rPr>
          <w:b/>
          <w:bCs/>
        </w:rPr>
        <w:t xml:space="preserve">preserved volume and absence of focal nodularity</w:t>
      </w:r>
      <w:r>
        <w:t xml:space="preserve"> </w:t>
      </w:r>
      <w:r>
        <w:t xml:space="preserve">on high-resolution imaging, ruling out a discrete mass or lymphoma.</w:t>
      </w:r>
    </w:p>
    <w:p>
      <w:pPr>
        <w:pStyle w:val="CaptionedFigure"/>
      </w:pPr>
      <w:r>
        <w:drawing>
          <wp:inline>
            <wp:extent cx="4267200" cy="6360711"/>
            <wp:effectExtent b="0" l="0" r="0" t="0"/>
            <wp:docPr descr="Figure 1B: High-Resolution Ultrasound of the Left Lobe showing normal echotexture and absence of nodules, ruling out structural malignancy." title="" id="27" name="Picture"/>
            <a:graphic>
              <a:graphicData uri="http://schemas.openxmlformats.org/drawingml/2006/picture">
                <pic:pic>
                  <pic:nvPicPr>
                    <pic:cNvPr descr="data/image/USGTHYROID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36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1B:</w:t>
      </w:r>
      <w:r>
        <w:t xml:space="preserve"> </w:t>
      </w:r>
      <w:r>
        <w:t xml:space="preserve">High-Resolution Ultrasound of the Left Lobe showing normal echotexture and absence of nodules, ruling out structural malignancy.</w:t>
      </w:r>
    </w:p>
    <w:bookmarkEnd w:id="29"/>
    <w:bookmarkStart w:id="3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case illustrates a</w:t>
      </w:r>
      <w:r>
        <w:t xml:space="preserve"> </w:t>
      </w:r>
      <w:r>
        <w:t xml:space="preserve">“Physiological False Positive”</w:t>
      </w:r>
      <w:r>
        <w:t xml:space="preserve"> </w:t>
      </w:r>
      <w:r>
        <w:t xml:space="preserve">driven by a perfect storm of</w:t>
      </w:r>
      <w:r>
        <w:t xml:space="preserve"> </w:t>
      </w:r>
      <w:r>
        <w:rPr>
          <w:b/>
          <w:bCs/>
        </w:rPr>
        <w:t xml:space="preserve">Radiation Damage</w:t>
      </w:r>
      <w:r>
        <w:t xml:space="preserve">,</w:t>
      </w:r>
      <w:r>
        <w:t xml:space="preserve"> </w:t>
      </w:r>
      <w:r>
        <w:rPr>
          <w:b/>
          <w:bCs/>
        </w:rPr>
        <w:t xml:space="preserve">PTU Suppression</w:t>
      </w:r>
      <w:r>
        <w:t xml:space="preserve">, and</w:t>
      </w:r>
      <w:r>
        <w:t xml:space="preserve"> </w:t>
      </w:r>
      <w:r>
        <w:rPr>
          <w:b/>
          <w:bCs/>
        </w:rPr>
        <w:t xml:space="preserve">TSH Overdrive</w:t>
      </w:r>
      <w:r>
        <w:t xml:space="preserve">.</w:t>
      </w:r>
    </w:p>
    <w:bookmarkStart w:id="30" w:name="the-diagnostic-trap"/>
    <w:p>
      <w:pPr>
        <w:pStyle w:val="Heading3"/>
      </w:pPr>
      <w:r>
        <w:t xml:space="preserve">The Diagnostic Trap</w:t>
      </w:r>
    </w:p>
    <w:p>
      <w:pPr>
        <w:pStyle w:val="FirstParagraph"/>
      </w:pPr>
      <w:r>
        <w:t xml:space="preserve">An</w:t>
      </w:r>
      <w:r>
        <w:t xml:space="preserve"> 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of 14.0 is alarmingly high. Karantanis et al. note that diffuse uptake is typically associated with autoimmune thyroiditis, but usually with lower intensity.[3] Haber et al. demonstrated that GLUT-1 expression (the driver of FDG uptake) is a marker of malignancy in 46% of thyroid cancers.[4] The absence of structural abnormalities on USG and the</w:t>
      </w:r>
      <w:r>
        <w:t xml:space="preserve"> </w:t>
      </w:r>
      <w:r>
        <w:rPr>
          <w:b/>
          <w:bCs/>
        </w:rPr>
        <w:t xml:space="preserve">Negative TRAb</w:t>
      </w:r>
      <w:r>
        <w:t xml:space="preserve"> </w:t>
      </w:r>
      <w:r>
        <w:t xml:space="preserve">were the pivot points against malignancy and Graves’ disease.</w:t>
      </w:r>
    </w:p>
    <w:bookmarkEnd w:id="30"/>
    <w:bookmarkStart w:id="31" w:name="retrospective-root-cause-analysis"/>
    <w:p>
      <w:pPr>
        <w:pStyle w:val="Heading3"/>
      </w:pPr>
      <w:r>
        <w:t xml:space="preserve">Retrospective Root Cause Analysis</w:t>
      </w:r>
    </w:p>
    <w:p>
      <w:pPr>
        <w:pStyle w:val="FirstParagraph"/>
      </w:pPr>
      <w:r>
        <w:t xml:space="preserve">The initial presentation was mismanaged with PTU. The initial</w:t>
      </w:r>
      <w:r>
        <w:t xml:space="preserve"> </w:t>
      </w:r>
      <w:r>
        <w:rPr>
          <w:b/>
          <w:bCs/>
        </w:rPr>
        <w:t xml:space="preserve">T3/T4 ratio of 10.6</w:t>
      </w:r>
      <w:r>
        <w:t xml:space="preserve"> </w:t>
      </w:r>
      <w:r>
        <w:t xml:space="preserve">(256/24) strongly supports</w:t>
      </w:r>
      <w:r>
        <w:t xml:space="preserve"> </w:t>
      </w:r>
      <w:r>
        <w:rPr>
          <w:b/>
          <w:bCs/>
        </w:rPr>
        <w:t xml:space="preserve">destructive radiation thyroiditis</w:t>
      </w:r>
      <w:r>
        <w:t xml:space="preserve"> </w:t>
      </w:r>
      <w:r>
        <w:t xml:space="preserve">(leakage of preformed T4) rather than Graves’ disease (which favors T3 hypersecretion, ratio &gt;20). The use of PTU likely accelerated the hypothyroid phase by blocking new hormone synthesis while the gland was already leaking.</w:t>
      </w:r>
    </w:p>
    <w:bookmarkEnd w:id="31"/>
    <w:bookmarkStart w:id="32" w:name="first-principles-the-glut-1-mechanism"/>
    <w:p>
      <w:pPr>
        <w:pStyle w:val="Heading3"/>
      </w:pPr>
      <w:r>
        <w:t xml:space="preserve">First Principles: The GLUT-1 Mechanism</w:t>
      </w:r>
    </w:p>
    <w:p>
      <w:pPr>
        <w:pStyle w:val="FirstParagraph"/>
      </w:pPr>
      <w:r>
        <w:t xml:space="preserve">Why was the thyroid</w:t>
      </w:r>
      <w:r>
        <w:t xml:space="preserve"> </w:t>
      </w:r>
      <w:r>
        <w:t xml:space="preserve">“glowing”</w:t>
      </w:r>
      <w:r>
        <w:t xml:space="preserve"> </w:t>
      </w:r>
      <w:r>
        <w:t xml:space="preserve">without a tumor?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TSH Stimulation:</w:t>
      </w:r>
      <w:r>
        <w:t xml:space="preserve"> </w:t>
      </w:r>
      <w:r>
        <w:t xml:space="preserve">TSH receptors on thyroid follicular cells utilize the cAMP pathway to upregulate</w:t>
      </w:r>
      <w:r>
        <w:t xml:space="preserve"> </w:t>
      </w:r>
      <w:r>
        <w:rPr>
          <w:b/>
          <w:bCs/>
        </w:rPr>
        <w:t xml:space="preserve">GLUT-1 glucose transporters</w:t>
      </w:r>
      <w:r>
        <w:t xml:space="preserve">.[1]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“Starving Cell”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Hypothesis:</w:t>
      </w:r>
      <w:r>
        <w:t xml:space="preserve"> </w:t>
      </w:r>
      <w:r>
        <w:t xml:space="preserve">The gland, damaged by radiation and previously blocked by PTU, was functionally failing. The pituitary responded with massive TSH secretion (</w:t>
      </w:r>
      <m:oMath>
        <m:r>
          <m:rPr>
            <m:sty m:val="p"/>
          </m:rPr>
          <m:t>&gt;</m:t>
        </m:r>
        <m:r>
          <m:t>100</m:t>
        </m:r>
      </m:oMath>
      <w:r>
        <w:t xml:space="preserve">). This forced the remaining viable thyrocytes to hyper-express GLUT-1 and avidly trap FDG to fuel hormone synthesis.[6]</w:t>
      </w:r>
    </w:p>
    <w:bookmarkEnd w:id="32"/>
    <w:bookmarkStart w:id="33" w:name="management"/>
    <w:p>
      <w:pPr>
        <w:pStyle w:val="Heading3"/>
      </w:pPr>
      <w:r>
        <w:t xml:space="preserve">Management</w:t>
      </w:r>
    </w:p>
    <w:p>
      <w:pPr>
        <w:pStyle w:val="FirstParagraph"/>
      </w:pPr>
      <w:r>
        <w:t xml:space="preserve">Recognizing this as a functional rather than pathological uptake, we initiated</w:t>
      </w:r>
      <w:r>
        <w:t xml:space="preserve"> </w:t>
      </w:r>
      <w:r>
        <w:rPr>
          <w:b/>
          <w:bCs/>
        </w:rPr>
        <w:t xml:space="preserve">Levothyroxine replacement (1.6 mcg/kg)</w:t>
      </w:r>
      <w:r>
        <w:t xml:space="preserve">. Biopsy was deferred. While chronic thyroiditis typically causes persistent low-grade uptake independent of TSH,[3] a</w:t>
      </w:r>
      <w:r>
        <w:t xml:space="preserve"> </w:t>
      </w:r>
      <w:r>
        <w:rPr>
          <w:b/>
          <w:bCs/>
        </w:rPr>
        <w:t xml:space="preserve">significant reduction</w:t>
      </w:r>
      <w:r>
        <w:t xml:space="preserve"> </w:t>
      </w:r>
      <w:r>
        <w:t xml:space="preserve">in the high-grade FDG avidity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14) is expected after TSH normalization, confirming the functional</w:t>
      </w:r>
      <w:r>
        <w:t xml:space="preserve"> </w:t>
      </w:r>
      <w:r>
        <w:t xml:space="preserve">“overdrive”</w:t>
      </w:r>
      <w:r>
        <w:t xml:space="preserve"> </w:t>
      </w:r>
      <w:r>
        <w:t xml:space="preserve">component.</w:t>
      </w:r>
    </w:p>
    <w:bookmarkEnd w:id="33"/>
    <w:bookmarkEnd w:id="34"/>
    <w:bookmarkStart w:id="3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High-grade diffuse FDG uptake (</w:t>
      </w:r>
      <m:oMath>
        <m:r>
          <m:t>S</m:t>
        </m:r>
        <m:r>
          <m:t>U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&gt;</m:t>
        </m:r>
        <m:r>
          <m:t>10</m:t>
        </m:r>
      </m:oMath>
      <w:r>
        <w:t xml:space="preserve">) in the thyroid does not always indicate malignancy. In the setting of severe hypothyroidism (</w:t>
      </w:r>
      <m:oMath>
        <m:r>
          <m:t>T</m:t>
        </m:r>
        <m:r>
          <m:t>S</m:t>
        </m:r>
        <m:r>
          <m:t>H</m:t>
        </m:r>
        <m:r>
          <m:rPr>
            <m:sty m:val="p"/>
          </m:rPr>
          <m:t>&gt;</m:t>
        </m:r>
        <m:r>
          <m:t>100</m:t>
        </m:r>
      </m:oMath>
      <w:r>
        <w:t xml:space="preserve">), it is often a marker of</w:t>
      </w:r>
      <w:r>
        <w:t xml:space="preserve"> </w:t>
      </w:r>
      <w:r>
        <w:rPr>
          <w:b/>
          <w:bCs/>
        </w:rPr>
        <w:t xml:space="preserve">TSH-mediated GLUT-1 upregulation</w:t>
      </w:r>
      <w:r>
        <w:t xml:space="preserve"> </w:t>
      </w:r>
      <w:r>
        <w:t xml:space="preserve">and a predictor of future thyroid dysfunction.[5] Clinicians must correlate PET findings with Ultrasound; if the USG is benign, treat the hypothyroidism and observe, rather than biopsy.</w:t>
      </w:r>
    </w:p>
    <w:bookmarkEnd w:id="35"/>
    <w:bookmarkStart w:id="36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Vera P, Kuhn-Lansoy C, Edet-Sanson A, et al. Does TSH trigger 18F-FDG uptake by the thyroid?</w:t>
      </w:r>
      <w:r>
        <w:t xml:space="preserve"> </w:t>
      </w:r>
      <w:r>
        <w:rPr>
          <w:i/>
          <w:iCs/>
        </w:rPr>
        <w:t xml:space="preserve">Eur J Nucl Med Mol Imaging</w:t>
      </w:r>
      <w:r>
        <w:t xml:space="preserve">. 2014;41:126–127.</w:t>
      </w:r>
    </w:p>
    <w:p>
      <w:pPr>
        <w:pStyle w:val="Compact"/>
        <w:numPr>
          <w:ilvl w:val="0"/>
          <w:numId w:val="1001"/>
        </w:numPr>
      </w:pPr>
      <w:r>
        <w:t xml:space="preserve">Soelberg KK, Bonnema SJ, Brix TH, Hegedüs L. Risk of malignancy in thyroid incidentalomas detected by 18F-FDG PET: a systematic review.</w:t>
      </w:r>
      <w:r>
        <w:t xml:space="preserve"> </w:t>
      </w:r>
      <w:r>
        <w:rPr>
          <w:i/>
          <w:iCs/>
        </w:rPr>
        <w:t xml:space="preserve">Thyroid</w:t>
      </w:r>
      <w:r>
        <w:t xml:space="preserve">. 2012;22(9):918-925.</w:t>
      </w:r>
    </w:p>
    <w:p>
      <w:pPr>
        <w:pStyle w:val="Compact"/>
        <w:numPr>
          <w:ilvl w:val="0"/>
          <w:numId w:val="1001"/>
        </w:numPr>
      </w:pPr>
      <w:r>
        <w:t xml:space="preserve">Karantanis D, Bogsrud TV, Wiseman GA, et al. Clinical significance of diffusely increased 18F-FDG uptake in the thyroid gland.</w:t>
      </w:r>
      <w:r>
        <w:t xml:space="preserve"> </w:t>
      </w:r>
      <w:r>
        <w:rPr>
          <w:i/>
          <w:iCs/>
        </w:rPr>
        <w:t xml:space="preserve">J Nucl Med</w:t>
      </w:r>
      <w:r>
        <w:t xml:space="preserve">. 2007;48(6):896-901.</w:t>
      </w:r>
    </w:p>
    <w:p>
      <w:pPr>
        <w:pStyle w:val="Compact"/>
        <w:numPr>
          <w:ilvl w:val="0"/>
          <w:numId w:val="1001"/>
        </w:numPr>
      </w:pPr>
      <w:r>
        <w:t xml:space="preserve">Haber RS, Weiser KR, Pritsker A, Reder I, Burstein DE. GLUT1 glucose transporter expression in benign and malignant thyroid nodules.</w:t>
      </w:r>
      <w:r>
        <w:t xml:space="preserve"> </w:t>
      </w:r>
      <w:r>
        <w:rPr>
          <w:i/>
          <w:iCs/>
        </w:rPr>
        <w:t xml:space="preserve">Thyroid</w:t>
      </w:r>
      <w:r>
        <w:t xml:space="preserve">. 1997;7(3):363-367.</w:t>
      </w:r>
    </w:p>
    <w:p>
      <w:pPr>
        <w:pStyle w:val="Compact"/>
        <w:numPr>
          <w:ilvl w:val="0"/>
          <w:numId w:val="1001"/>
        </w:numPr>
      </w:pPr>
      <w:r>
        <w:t xml:space="preserve">Kim YH, Chang Y, Kim Y, et al. Diffusely Increased 18F-FDG Uptake in the Thyroid Gland and Risk of Thyroid Dysfunction: A Cohort Study.</w:t>
      </w:r>
      <w:r>
        <w:t xml:space="preserve"> </w:t>
      </w:r>
      <w:r>
        <w:rPr>
          <w:i/>
          <w:iCs/>
        </w:rPr>
        <w:t xml:space="preserve">J Clin Med</w:t>
      </w:r>
      <w:r>
        <w:t xml:space="preserve">. 2019;8(5):603.</w:t>
      </w:r>
    </w:p>
    <w:p>
      <w:pPr>
        <w:pStyle w:val="Compact"/>
        <w:numPr>
          <w:ilvl w:val="0"/>
          <w:numId w:val="1001"/>
        </w:numPr>
      </w:pPr>
      <w:r>
        <w:t xml:space="preserve">Gabriele E, Pellicori S, Romano L, et al. Thyroid uptake of 18F-FDG in patients with severe hypothyroidism.</w:t>
      </w:r>
      <w:r>
        <w:t xml:space="preserve"> </w:t>
      </w:r>
      <w:r>
        <w:rPr>
          <w:i/>
          <w:iCs/>
        </w:rPr>
        <w:t xml:space="preserve">Endocrine</w:t>
      </w:r>
      <w:r>
        <w:t xml:space="preserve">. 2017;55:976–978.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2026-02-17T18:46:07Z</dcterms:created>
  <dcterms:modified xsi:type="dcterms:W3CDTF">2026-02-17T18:46:07Z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