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42.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Trabecular Disconnection and Biomechanical Weakness Drive Fragility in Osteopenic Postmenopausal Women: An HR-pQCT and</w:t>
      </w:r>
      <w:r>
        <w:t xml:space="preserve"> </w:t>
      </w:r>
      <m:oMath>
        <m:r>
          <m:t>μ</m:t>
        </m:r>
      </m:oMath>
      <w:r>
        <w:t xml:space="preserve">FEA Study</w:t>
      </w:r>
    </w:p>
    <w:p>
      <w:pPr>
        <w:pStyle w:val="Author"/>
      </w:pPr>
      <w:r>
        <w:t xml:space="preserve">Ajay Shukla, MD, DM</w:t>
      </w:r>
    </w:p>
    <w:p>
      <w:pPr>
        <w:pStyle w:val="Author"/>
      </w:pPr>
      <w:r>
        <w:t xml:space="preserve">Sushil Gupta, MD, DM</w:t>
      </w:r>
    </w:p>
    <w:bookmarkStart w:id="20" w:name="abstract"/>
    <w:p>
      <w:pPr>
        <w:pStyle w:val="Heading1"/>
      </w:pPr>
      <w:r>
        <w:t xml:space="preserve">1. Abstract</w:t>
      </w:r>
    </w:p>
    <w:p>
      <w:pPr>
        <w:pStyle w:val="FirstParagraph"/>
      </w:pPr>
      <w:r>
        <w:rPr>
          <w:b/>
          <w:bCs/>
        </w:rPr>
        <w:t xml:space="preserve">Background:</w:t>
      </w:r>
      <w:r>
        <w:t xml:space="preserve"> </w:t>
      </w:r>
      <w:r>
        <w:t xml:space="preserve">Skeletal management is currently limited by the</w:t>
      </w:r>
      <w:r>
        <w:t xml:space="preserve"> </w:t>
      </w:r>
      <w:r>
        <w:t xml:space="preserve">“prevention paradox,”</w:t>
      </w:r>
      <w:r>
        <w:t xml:space="preserve"> </w:t>
      </w:r>
      <w:r>
        <w:t xml:space="preserve">wherein the majority of fragility fractures occur in postmenopausal women with</w:t>
      </w:r>
      <w:r>
        <w:t xml:space="preserve"> </w:t>
      </w:r>
      <m:oMath>
        <m:r>
          <m:t>T</m:t>
        </m:r>
      </m:oMath>
      <w:r>
        <w:t xml:space="preserve">-scores in the osteopenic range (</w:t>
      </w:r>
      <m:oMath>
        <m:r>
          <m:rPr>
            <m:sty m:val="p"/>
          </m:rPr>
          <m:t>−</m:t>
        </m:r>
        <m:r>
          <m:t>2.5</m:t>
        </m:r>
        <m:r>
          <m:rPr>
            <m:sty m:val="p"/>
          </m:rPr>
          <m:t>&lt;</m:t>
        </m:r>
        <m:r>
          <m:t>T</m:t>
        </m:r>
        <m:r>
          <m:rPr>
            <m:sty m:val="p"/>
          </m:rPr>
          <m:t>&lt;</m:t>
        </m:r>
        <m:r>
          <m:rPr>
            <m:sty m:val="p"/>
          </m:rPr>
          <m:t>−</m:t>
        </m:r>
        <m:r>
          <m:t>1.0</m:t>
        </m:r>
      </m:oMath>
      <w:r>
        <w:t xml:space="preserve">). Standard assessment via dual-energy X-ray absorptiometry (DXA) lacks the spatial resolution to capture the 3D microarchitectural determinants of bone strength. We utilized High-Resolution Peripheral Quantitative Computed Tomography (HR-pQCT) and micro-Finite Element Analysis (</w:t>
      </w:r>
      <m:oMath>
        <m:r>
          <m:t>μ</m:t>
        </m:r>
      </m:oMath>
      <w:r>
        <w:t xml:space="preserve">FEA) to identify the structural drivers of fragility within this diagnostic</w:t>
      </w:r>
      <w:r>
        <w:t xml:space="preserve"> </w:t>
      </w:r>
      <w:r>
        <w:t xml:space="preserve">“grey zone.”</w:t>
      </w:r>
    </w:p>
    <w:p>
      <w:pPr>
        <w:pStyle w:val="BodyText"/>
      </w:pPr>
      <w:r>
        <w:rPr>
          <w:b/>
          <w:bCs/>
        </w:rPr>
        <w:t xml:space="preserve">Methods:</w:t>
      </w:r>
      <w:r>
        <w:t xml:space="preserve"> </w:t>
      </w:r>
      <w:r>
        <w:t xml:space="preserve">This cross-sectional study evaluated 215 postmenopausal women (Total Cohort:</w:t>
      </w:r>
      <w:r>
        <w:t xml:space="preserve"> </w:t>
      </w:r>
      <m:oMath>
        <m:r>
          <m:t>N</m:t>
        </m:r>
        <m:r>
          <m:rPr>
            <m:sty m:val="p"/>
          </m:rPr>
          <m:t>=</m:t>
        </m:r>
        <m:r>
          <m:t>215</m:t>
        </m:r>
      </m:oMath>
      <w:r>
        <w:t xml:space="preserve">; 118 fractures, 97 controls). The primary analysis focused on the</w:t>
      </w:r>
      <w:r>
        <w:t xml:space="preserve"> </w:t>
      </w:r>
      <w:r>
        <w:t xml:space="preserve">“Grey Zone”</w:t>
      </w:r>
      <w:r>
        <w:t xml:space="preserve"> </w:t>
      </w:r>
      <w:r>
        <w:t xml:space="preserve">sub-cohort (</w:t>
      </w:r>
      <m:oMath>
        <m:r>
          <m:t>n</m:t>
        </m:r>
        <m:r>
          <m:rPr>
            <m:sty m:val="p"/>
          </m:rPr>
          <m:t>=</m:t>
        </m:r>
        <m:r>
          <m:t>91</m:t>
        </m:r>
      </m:oMath>
      <w:r>
        <w:t xml:space="preserve">; 47 fractures, 44 controls) with osteopenia. Secondary objectives included validation in the total cohort and phenotyping the impact of Type 2 Diabetes Mellitus (T2DM;</w:t>
      </w:r>
      <w:r>
        <w:t xml:space="preserve"> </w:t>
      </w:r>
      <m:oMath>
        <m:r>
          <m:t>n</m:t>
        </m:r>
        <m:r>
          <m:rPr>
            <m:sty m:val="p"/>
          </m:rPr>
          <m:t>=</m:t>
        </m:r>
        <m:r>
          <m:t>140</m:t>
        </m:r>
      </m:oMath>
      <w:r>
        <w:t xml:space="preserve"> </w:t>
      </w:r>
      <w:r>
        <w:t xml:space="preserve">total,</w:t>
      </w:r>
      <w:r>
        <w:t xml:space="preserve"> </w:t>
      </w:r>
      <m:oMath>
        <m:r>
          <m:t>n</m:t>
        </m:r>
        <m:r>
          <m:rPr>
            <m:sty m:val="p"/>
          </m:rPr>
          <m:t>=</m:t>
        </m:r>
        <m:r>
          <m:t>66</m:t>
        </m:r>
      </m:oMath>
      <w:r>
        <w:t xml:space="preserve"> </w:t>
      </w:r>
      <w:r>
        <w:t xml:space="preserve">osteopenic). Assessments included DXA (Lumbar/Hip), Trabecular Bone Score (TBS), and HR-pQCT of the distal radius and tibia.</w:t>
      </w:r>
    </w:p>
    <w:p>
      <w:pPr>
        <w:pStyle w:val="BodyText"/>
      </w:pPr>
      <w:r>
        <w:rPr>
          <w:b/>
          <w:bCs/>
        </w:rPr>
        <w:t xml:space="preserve">Results:</w:t>
      </w:r>
      <w:r>
        <w:t xml:space="preserve"> </w:t>
      </w:r>
      <w:r>
        <w:t xml:space="preserve">In the primary osteopenic sub-cohort (</w:t>
      </w:r>
      <m:oMath>
        <m:r>
          <m:t>n</m:t>
        </m:r>
        <m:r>
          <m:rPr>
            <m:sty m:val="p"/>
          </m:rPr>
          <m:t>=</m:t>
        </m:r>
        <m:r>
          <m:t>91</m:t>
        </m:r>
      </m:oMath>
      <w:r>
        <w:t xml:space="preserve">), areal BMD (</w:t>
      </w:r>
      <m:oMath>
        <m:r>
          <m:t>a</m:t>
        </m:r>
        <m:r>
          <m:t>B</m:t>
        </m:r>
        <m:r>
          <m:t>M</m:t>
        </m:r>
        <m:r>
          <m:t>D</m:t>
        </m:r>
      </m:oMath>
      <w:r>
        <w:t xml:space="preserve">) and clinical models (DXA + TBS + FRAX) failed to discriminate fracture status (AUC = 0.60;</w:t>
      </w:r>
      <w:r>
        <w:t xml:space="preserve"> </w:t>
      </w:r>
      <m:oMath>
        <m:r>
          <m:t>p</m:t>
        </m:r>
        <m:r>
          <m:rPr>
            <m:sty m:val="p"/>
          </m:rPr>
          <m:t>&gt;</m:t>
        </m:r>
        <m:r>
          <m:t>0.05</m:t>
        </m:r>
      </m:oMath>
      <w:r>
        <w:t xml:space="preserve">). Conversely, HR-pQCT revealed a profound structural triad of densitometric loss (Total</w:t>
      </w:r>
      <w:r>
        <w:t xml:space="preserve"> </w:t>
      </w:r>
      <m:oMath>
        <m:r>
          <m:t>v</m:t>
        </m:r>
        <m:r>
          <m:t>B</m:t>
        </m:r>
        <m:r>
          <m:t>M</m:t>
        </m:r>
        <m:r>
          <m:t>D</m:t>
        </m:r>
      </m:oMath>
      <w:r>
        <w:t xml:space="preserve">:</w:t>
      </w:r>
      <w:r>
        <w:t xml:space="preserve"> </w:t>
      </w:r>
      <m:oMath>
        <m:r>
          <m:t>d</m:t>
        </m:r>
        <m:r>
          <m:rPr>
            <m:sty m:val="p"/>
          </m:rPr>
          <m:t>=</m:t>
        </m:r>
        <m:r>
          <m:t>0.72</m:t>
        </m:r>
      </m:oMath>
      <w:r>
        <w:t xml:space="preserve">), microstructural decay (Trabecular Number [</w:t>
      </w:r>
      <m:oMath>
        <m:r>
          <m:t>T</m:t>
        </m:r>
        <m:r>
          <m:t>b</m:t>
        </m:r>
        <m:r>
          <m:rPr>
            <m:sty m:val="p"/>
          </m:rPr>
          <m:t>.</m:t>
        </m:r>
        <m:r>
          <m:t>N</m:t>
        </m:r>
      </m:oMath>
      <w:r>
        <w:t xml:space="preserve">]:</w:t>
      </w:r>
      <w:r>
        <w:t xml:space="preserve"> </w:t>
      </w:r>
      <m:oMath>
        <m:r>
          <m:t>d</m:t>
        </m:r>
        <m:r>
          <m:rPr>
            <m:sty m:val="p"/>
          </m:rPr>
          <m:t>=</m:t>
        </m:r>
        <m:r>
          <m:t>0.83</m:t>
        </m:r>
      </m:oMath>
      <w:r>
        <w:t xml:space="preserve">), and biomechanical compromise (Failure Load [</w:t>
      </w:r>
      <m:oMath>
        <m:r>
          <m:t>F</m:t>
        </m:r>
        <m:r>
          <m:rPr>
            <m:sty m:val="p"/>
          </m:rPr>
          <m:t>.</m:t>
        </m:r>
        <m:r>
          <m:t>L</m:t>
        </m:r>
        <m:r>
          <m:t>o</m:t>
        </m:r>
        <m:r>
          <m:t>a</m:t>
        </m:r>
        <m:r>
          <m:t>d</m:t>
        </m:r>
      </m:oMath>
      <w:r>
        <w:t xml:space="preserve">]: -14.3%;</w:t>
      </w:r>
      <w:r>
        <w:t xml:space="preserve"> </w:t>
      </w:r>
      <m:oMath>
        <m:r>
          <m:t>p</m:t>
        </m:r>
        <m:r>
          <m:rPr>
            <m:sty m:val="p"/>
          </m:rPr>
          <m:t>=</m:t>
        </m:r>
        <m:r>
          <m:t>0.03</m:t>
        </m:r>
      </m:oMath>
      <w:r>
        <w:t xml:space="preserve">). The structural model significantly outperformed the clinical model (AUC 0.76 vs. 0.60;</w:t>
      </w:r>
      <w:r>
        <w:t xml:space="preserve"> </w:t>
      </w:r>
      <m:oMath>
        <m:r>
          <m:t>p</m:t>
        </m:r>
        <m:r>
          <m:rPr>
            <m:sty m:val="p"/>
          </m:rPr>
          <m:t>&lt;</m:t>
        </m:r>
        <m:r>
          <m:t>0.05</m:t>
        </m:r>
      </m:oMath>
      <w:r>
        <w:t xml:space="preserve">). These findings were validated in the Total Cohort (</w:t>
      </w:r>
      <m:oMath>
        <m:r>
          <m:t>N</m:t>
        </m:r>
        <m:r>
          <m:rPr>
            <m:sty m:val="p"/>
          </m:rPr>
          <m:t>=</m:t>
        </m:r>
        <m:r>
          <m:t>215</m:t>
        </m:r>
      </m:oMath>
      <w:r>
        <w:t xml:space="preserve">), where HR-pQCT parameters maintained superior effect sizes over</w:t>
      </w:r>
      <w:r>
        <w:t xml:space="preserve"> </w:t>
      </w:r>
      <m:oMath>
        <m:r>
          <m:t>a</m:t>
        </m:r>
        <m:r>
          <m:t>B</m:t>
        </m:r>
        <m:r>
          <m:t>M</m:t>
        </m:r>
        <m:r>
          <m:t>D</m:t>
        </m:r>
      </m:oMath>
      <w:r>
        <w:t xml:space="preserve"> </w:t>
      </w:r>
      <w:r>
        <w:t xml:space="preserve">(</w:t>
      </w:r>
      <m:oMath>
        <m:r>
          <m:t>d</m:t>
        </m:r>
        <m:r>
          <m:rPr>
            <m:sty m:val="p"/>
          </m:rPr>
          <m:t>=</m:t>
        </m:r>
        <m:r>
          <m:t>0.85</m:t>
        </m:r>
      </m:oMath>
      <w:r>
        <w:t xml:space="preserve"> </w:t>
      </w:r>
      <w:r>
        <w:t xml:space="preserve">vs. 0.42).</w:t>
      </w:r>
    </w:p>
    <w:p>
      <w:pPr>
        <w:pStyle w:val="BodyText"/>
      </w:pPr>
      <w:r>
        <w:rPr>
          <w:b/>
          <w:bCs/>
        </w:rPr>
        <w:t xml:space="preserve">Crucially, phenotyping of the T2DM osteopenic subgroup (</w:t>
      </w:r>
      <m:oMath>
        <m:r>
          <m:t>n</m:t>
        </m:r>
        <m:r>
          <m:rPr>
            <m:sty m:val="p"/>
          </m:rPr>
          <m:t>=</m:t>
        </m:r>
        <m:r>
          <m:t>66</m:t>
        </m:r>
      </m:oMath>
      <w:r>
        <w:rPr>
          <w:b/>
          <w:bCs/>
        </w:rPr>
        <w:t xml:space="preserve">) revealed an unexpected finding:</w:t>
      </w:r>
      <w:r>
        <w:t xml:space="preserve"> </w:t>
      </w:r>
      <w:r>
        <w:t xml:space="preserve">In this</w:t>
      </w:r>
      <w:r>
        <w:t xml:space="preserve"> </w:t>
      </w:r>
      <w:r>
        <w:rPr>
          <w:b/>
          <w:bCs/>
        </w:rPr>
        <w:t xml:space="preserve">osteopenic</w:t>
      </w:r>
      <w:r>
        <w:t xml:space="preserve"> </w:t>
      </w:r>
      <w:r>
        <w:t xml:space="preserve">cohort, diabetic fragility was distinguished by preserved cortical porosity (</w:t>
      </w:r>
      <m:oMath>
        <m:r>
          <m:t>p</m:t>
        </m:r>
        <m:r>
          <m:rPr>
            <m:sty m:val="p"/>
          </m:rPr>
          <m:t>=</m:t>
        </m:r>
        <m:r>
          <m:t>0.26</m:t>
        </m:r>
      </m:oMath>
      <w:r>
        <w:t xml:space="preserve">) but</w:t>
      </w:r>
      <w:r>
        <w:t xml:space="preserve"> </w:t>
      </w:r>
      <w:r>
        <w:rPr>
          <w:b/>
          <w:bCs/>
        </w:rPr>
        <w:t xml:space="preserve">accelerated trabecular disconnection</w:t>
      </w:r>
      <w:r>
        <w:t xml:space="preserve"> </w:t>
      </w:r>
      <w:r>
        <w:t xml:space="preserve">(</w:t>
      </w:r>
      <m:oMath>
        <m:r>
          <m:t>d</m:t>
        </m:r>
        <m:r>
          <m:rPr>
            <m:sty m:val="p"/>
          </m:rPr>
          <m:t>=</m:t>
        </m:r>
        <m:r>
          <m:t>0.99</m:t>
        </m:r>
      </m:oMath>
      <w:r>
        <w:t xml:space="preserve">), contrasting with the cortical phenotype typically reported in osteoporotic T2DM. This contradicts the</w:t>
      </w:r>
      <w:r>
        <w:t xml:space="preserve"> </w:t>
      </w:r>
      <w:r>
        <w:t xml:space="preserve">“Cortical Switch”</w:t>
      </w:r>
      <w:r>
        <w:t xml:space="preserve"> </w:t>
      </w:r>
      <w:r>
        <w:t xml:space="preserve">hypothesis often cited in advanced osteoporosis, suggesting that in the earlier osteopenic phase, diabetes primarily accelerates trabecular decay.</w:t>
      </w:r>
    </w:p>
    <w:p>
      <w:pPr>
        <w:pStyle w:val="BodyText"/>
      </w:pPr>
      <w:r>
        <w:rPr>
          <w:b/>
          <w:bCs/>
        </w:rPr>
        <w:t xml:space="preserve">Conclusion:</w:t>
      </w:r>
      <w:r>
        <w:t xml:space="preserve"> </w:t>
      </w:r>
      <w:r>
        <w:t xml:space="preserve">Standard densitometry fails to capture the</w:t>
      </w:r>
      <w:r>
        <w:t xml:space="preserve"> </w:t>
      </w:r>
      <w:r>
        <w:t xml:space="preserve">“hidden fragility”</w:t>
      </w:r>
      <w:r>
        <w:t xml:space="preserve"> </w:t>
      </w:r>
      <w:r>
        <w:t xml:space="preserve">inherent in the osteopenic population. This study identifies</w:t>
      </w:r>
      <w:r>
        <w:t xml:space="preserve"> </w:t>
      </w:r>
      <w:r>
        <w:rPr>
          <w:b/>
          <w:bCs/>
        </w:rPr>
        <w:t xml:space="preserve">Trabecular Disconnection</w:t>
      </w:r>
      <w:r>
        <w:t xml:space="preserve"> </w:t>
      </w:r>
      <w:r>
        <w:t xml:space="preserve">as the universal driver of fragility in the grey zone, regardless of diabetic status. Validating these structural drivers suggests that HR-pQCT is an essential stratification tool for patients who fall below traditional DXA-based intervention thresholds.</w:t>
      </w:r>
    </w:p>
    <w:bookmarkEnd w:id="20"/>
    <w:bookmarkStart w:id="21" w:name="introduction"/>
    <w:p>
      <w:pPr>
        <w:pStyle w:val="Heading1"/>
      </w:pPr>
      <w:r>
        <w:t xml:space="preserve">2. Introduction</w:t>
      </w:r>
    </w:p>
    <w:p>
      <w:pPr>
        <w:pStyle w:val="FirstParagraph"/>
      </w:pPr>
      <w:r>
        <w:t xml:space="preserve">Osteoporosis is a systemic skeletal disorder characterized by low bone mass and microarchitectural deterioration, resulting in a heightened risk of fragility fractures. The operational definition, established by the World Health Organization (WHO), relies on an areal Bone Mineral Density (</w:t>
      </w:r>
      <m:oMath>
        <m:r>
          <m:t>a</m:t>
        </m:r>
        <m:r>
          <m:t>B</m:t>
        </m:r>
        <m:r>
          <m:t>M</m:t>
        </m:r>
        <m:r>
          <m:t>D</m:t>
        </m:r>
      </m:oMath>
      <w:r>
        <w:t xml:space="preserve">)</w:t>
      </w:r>
      <w:r>
        <w:t xml:space="preserve"> </w:t>
      </w:r>
      <m:oMath>
        <m:r>
          <m:t>T</m:t>
        </m:r>
      </m:oMath>
      <w:r>
        <w:t xml:space="preserve">-score</w:t>
      </w:r>
      <w:r>
        <w:t xml:space="preserve"> </w:t>
      </w:r>
      <m:oMath>
        <m:r>
          <m:rPr>
            <m:sty m:val="p"/>
          </m:rPr>
          <m:t>≤</m:t>
        </m:r>
        <m:r>
          <m:rPr>
            <m:sty m:val="p"/>
          </m:rPr>
          <m:t>−</m:t>
        </m:r>
        <m:r>
          <m:t>2.5</m:t>
        </m:r>
      </m:oMath>
      <w:r>
        <w:t xml:space="preserve"> </w:t>
      </w:r>
      <w:r>
        <w:t xml:space="preserve">assessed by Dual-energy X-ray Absorptiometry (DXA). While this threshold is highly specific for identifying individuals at the highest risk, it lacks sufficient sensitivity. Epidemiological data, including the National Osteoporosis Risk Assessment (NORA) study, indicate that the majority of fragility fractures actually occur in women with</w:t>
      </w:r>
      <w:r>
        <w:t xml:space="preserve"> </w:t>
      </w:r>
      <m:oMath>
        <m:r>
          <m:t>T</m:t>
        </m:r>
      </m:oMath>
      <w:r>
        <w:t xml:space="preserve">-scores in the osteopenic range (between -1.0 and -2.5)—a clinical phenomenon termed the</w:t>
      </w:r>
      <w:r>
        <w:t xml:space="preserve"> </w:t>
      </w:r>
      <w:r>
        <w:t xml:space="preserve">“prevention paradox”</w:t>
      </w:r>
      <w:r>
        <w:rPr>
          <w:vertAlign w:val="superscript"/>
        </w:rPr>
        <w:t xml:space="preserve">1</w:t>
      </w:r>
      <w:r>
        <w:t xml:space="preserve">.</w:t>
      </w:r>
    </w:p>
    <w:p>
      <w:pPr>
        <w:pStyle w:val="BodyText"/>
      </w:pPr>
      <w:r>
        <w:t xml:space="preserve">This diagnostic</w:t>
      </w:r>
      <w:r>
        <w:t xml:space="preserve"> </w:t>
      </w:r>
      <w:r>
        <w:t xml:space="preserve">“grey zone”</w:t>
      </w:r>
      <w:r>
        <w:t xml:space="preserve"> </w:t>
      </w:r>
      <w:r>
        <w:t xml:space="preserve">represents a critical clinical challenge: these patients often fail to meet traditional intervention thresholds and may be excluded from potent anabolic therapies despite demonstrated skeletal fragility. The failure of DXA to accurately stratify risk within this cohort stems from its inherent two-dimensional nature, which cannot resolve the complex three-dimensional (3D) microarchitectural determinants of bone strength. DXA cannot distinguish between cortical and trabecular compartments, nor can it quantify vital parameters like trabecular connectivity or cortical porosity (</w:t>
      </w:r>
      <m:oMath>
        <m:r>
          <m:t>C</m:t>
        </m:r>
        <m:r>
          <m:t>t</m:t>
        </m:r>
        <m:r>
          <m:rPr>
            <m:sty m:val="p"/>
          </m:rPr>
          <m:t>.</m:t>
        </m:r>
        <m:r>
          <m:t>P</m:t>
        </m:r>
        <m:r>
          <m:t>o</m:t>
        </m:r>
      </m:oMath>
      <w:r>
        <w:t xml:space="preserve">).</w:t>
      </w:r>
    </w:p>
    <w:p>
      <w:pPr>
        <w:pStyle w:val="BodyText"/>
      </w:pPr>
      <w:r>
        <w:t xml:space="preserve">High-Resolution Peripheral Quantitative Computed Tomography (HR-pQCT) has revolutionized bone assessment, acting as a</w:t>
      </w:r>
      <w:r>
        <w:t xml:space="preserve"> </w:t>
      </w:r>
      <w:r>
        <w:t xml:space="preserve">“virtual bone biopsy”</w:t>
      </w:r>
      <w:r>
        <w:t xml:space="preserve"> </w:t>
      </w:r>
      <w:r>
        <w:t xml:space="preserve">to quantify volumetric BMD (</w:t>
      </w:r>
      <m:oMath>
        <m:r>
          <m:t>v</m:t>
        </m:r>
        <m:r>
          <m:t>B</m:t>
        </m:r>
        <m:r>
          <m:t>M</m:t>
        </m:r>
        <m:r>
          <m:t>D</m:t>
        </m:r>
      </m:oMath>
      <w:r>
        <w:t xml:space="preserve">) and microarchitecture in vivo</w:t>
      </w:r>
      <w:r>
        <w:rPr>
          <w:vertAlign w:val="superscript"/>
        </w:rPr>
        <w:t xml:space="preserve">2</w:t>
      </w:r>
      <w:r>
        <w:t xml:space="preserve">. Pivotal studies have shown that cortical porosity and trabecular density are independent predictors of fracture risk</w:t>
      </w:r>
      <w:r>
        <w:rPr>
          <w:vertAlign w:val="superscript"/>
        </w:rPr>
        <w:t xml:space="preserve">1,3</w:t>
      </w:r>
      <w:r>
        <w:t xml:space="preserve">. However, the specific biomechanical drivers of fracture within the</w:t>
      </w:r>
      <w:r>
        <w:t xml:space="preserve"> </w:t>
      </w:r>
      <w:r>
        <w:t xml:space="preserve">“non-osteoporotic”</w:t>
      </w:r>
      <w:r>
        <w:t xml:space="preserve"> </w:t>
      </w:r>
      <w:r>
        <w:t xml:space="preserve">(osteopenic) subgroup remain under-characterized. Furthermore, in Type 2 Diabetes Mellitus (T2DM)—where fracture burden is paradoxically high despite</w:t>
      </w:r>
      <w:r>
        <w:t xml:space="preserve"> </w:t>
      </w:r>
      <w:r>
        <w:t xml:space="preserve">“normal”</w:t>
      </w:r>
      <w:r>
        <w:t xml:space="preserve"> </w:t>
      </w:r>
      <m:oMath>
        <m:r>
          <m:t>a</m:t>
        </m:r>
        <m:r>
          <m:t>B</m:t>
        </m:r>
        <m:r>
          <m:t>M</m:t>
        </m:r>
        <m:r>
          <m:t>D</m:t>
        </m:r>
      </m:oMath>
      <w:r>
        <w:rPr>
          <w:vertAlign w:val="superscript"/>
        </w:rPr>
        <w:t xml:space="preserve">4,5</w:t>
      </w:r>
      <w:r>
        <w:t xml:space="preserve">.—the specific structural degradation pathways in the early (osteopenic) stages remain debated.</w:t>
      </w:r>
    </w:p>
    <w:p>
      <w:pPr>
        <w:pStyle w:val="BodyText"/>
      </w:pPr>
      <w:r>
        <w:rPr>
          <w:b/>
          <w:bCs/>
        </w:rPr>
        <w:t xml:space="preserve">Objectives:</w:t>
      </w:r>
      <w:r>
        <w:t xml:space="preserve"> </w:t>
      </w:r>
      <w:r>
        <w:t xml:space="preserve">The primary objective of this study was to evaluate the diagnostic performance of HR-pQCT and micro-Finite Element Analysis (</w:t>
      </w:r>
      <m:oMath>
        <m:r>
          <m:t>μ</m:t>
        </m:r>
      </m:oMath>
      <w:r>
        <w:t xml:space="preserve">FEA) in discriminating fracture status within the specific osteopenic subgroup (</w:t>
      </w:r>
      <m:oMath>
        <m:r>
          <m:t>n</m:t>
        </m:r>
        <m:r>
          <m:rPr>
            <m:sty m:val="p"/>
          </m:rPr>
          <m:t>=</m:t>
        </m:r>
        <m:r>
          <m:t>91</m:t>
        </m:r>
      </m:oMath>
      <w:r>
        <w:t xml:space="preserve">), compared to standard clinical models. Secondary objectives included validation in the total cohort and specific phenotyping of the T2DM impact on bone quality.</w:t>
      </w:r>
    </w:p>
    <w:bookmarkEnd w:id="21"/>
    <w:bookmarkStart w:id="29" w:name="materials-and-methods"/>
    <w:p>
      <w:pPr>
        <w:pStyle w:val="Heading1"/>
      </w:pPr>
      <w:r>
        <w:t xml:space="preserve">3. Materials and Methods</w:t>
      </w:r>
    </w:p>
    <w:bookmarkStart w:id="26" w:name="study-design-and-participants"/>
    <w:p>
      <w:pPr>
        <w:pStyle w:val="Heading2"/>
      </w:pPr>
      <w:r>
        <w:t xml:space="preserve">3.1 Study Design and Participants</w:t>
      </w:r>
    </w:p>
    <w:p>
      <w:pPr>
        <w:pStyle w:val="FirstParagraph"/>
      </w:pPr>
      <w:r>
        <w:t xml:space="preserve">This cross-sectional, observational study was conducted at a tertiary care metabolic bone center. We recruited 215 postmenopausal women to evaluate the structural determinants of skeletal fragility. To ensure data integrity for advanced biomechanical modeling, we utilized an</w:t>
      </w:r>
      <w:r>
        <w:t xml:space="preserve"> </w:t>
      </w:r>
      <w:r>
        <w:t xml:space="preserve">“Strict image quality inclusion criteria”</w:t>
      </w:r>
      <w:r>
        <w:t xml:space="preserve">: participants were only included if they successfully completed both DXA and HR-pQCT of the distal radius. Of the 227 initially screened participants, 12 (5.3%) were excluded due to significant motion artifacts (Scanco Grade 4 or 5) to prevent resolution-induced bias, resulting in the final cohort of 215.</w:t>
      </w:r>
    </w:p>
    <w:tbl>
      <w:tblPr>
        <w:tblStyle w:val="Table"/>
        <w:tblW w:type="pct" w:w="5000"/>
        <w:tblLayout w:type="fixed"/>
        <w:tblLook w:firstRow="0" w:lastRow="0" w:firstColumn="0" w:lastColumn="0" w:noHBand="0" w:noVBand="0" w:val="0000"/>
      </w:tblPr>
      <w:tblGrid>
        <w:gridCol w:w="7920"/>
      </w:tblGrid>
      <w:tr>
        <w:tc>
          <w:tcPr/>
          <w:bookmarkStart w:id="25" w:name="fig-consort"/>
          <w:p>
            <w:pPr>
              <w:pStyle w:val="Compact"/>
              <w:jc w:val="center"/>
            </w:pPr>
            <w:r>
              <w:drawing>
                <wp:inline>
                  <wp:extent cx="4800600" cy="4219474"/>
                  <wp:effectExtent b="0" l="0" r="0" t="0"/>
                  <wp:docPr descr="" title="" id="23" name="Picture"/>
                  <a:graphic>
                    <a:graphicData uri="http://schemas.openxmlformats.org/drawingml/2006/picture">
                      <pic:pic>
                        <pic:nvPicPr>
                          <pic:cNvPr descr="../results/figures/Fig1_Consort.png" id="24" name="Picture"/>
                          <pic:cNvPicPr>
                            <a:picLocks noChangeArrowheads="1" noChangeAspect="1"/>
                          </pic:cNvPicPr>
                        </pic:nvPicPr>
                        <pic:blipFill>
                          <a:blip r:embed="rId22"/>
                          <a:stretch>
                            <a:fillRect/>
                          </a:stretch>
                        </pic:blipFill>
                        <pic:spPr bwMode="auto">
                          <a:xfrm>
                            <a:off x="0" y="0"/>
                            <a:ext cx="4800600" cy="4219474"/>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Study Flowchart.</w:t>
            </w:r>
            <w:r>
              <w:t xml:space="preserve"> </w:t>
            </w:r>
            <w:r>
              <w:t xml:space="preserve">Recruitment, exclusion, and stratification of the study population.</w:t>
            </w:r>
          </w:p>
          <w:bookmarkEnd w:id="25"/>
        </w:tc>
      </w:tr>
    </w:tbl>
    <w:p>
      <w:pPr>
        <w:pStyle w:val="BodyText"/>
      </w:pPr>
      <w:r>
        <w:t xml:space="preserve">The study architecture was designed to address three hierarchical objectives:</w:t>
      </w:r>
      <w:r>
        <w:t xml:space="preserve"> </w:t>
      </w:r>
      <w:r>
        <w:t xml:space="preserve">1.</w:t>
      </w:r>
      <w:r>
        <w:t xml:space="preserve"> </w:t>
      </w:r>
      <w:r>
        <w:rPr>
          <w:b/>
          <w:bCs/>
        </w:rPr>
        <w:t xml:space="preserve">Primary Objective (The</w:t>
      </w:r>
      <w:r>
        <w:rPr>
          <w:b/>
          <w:bCs/>
        </w:rPr>
        <w:t xml:space="preserve"> </w:t>
      </w:r>
      <w:r>
        <w:rPr>
          <w:b/>
          <w:bCs/>
        </w:rPr>
        <w:t xml:space="preserve">“Grey Zone”</w:t>
      </w:r>
      <w:r>
        <w:rPr>
          <w:b/>
          <w:bCs/>
        </w:rPr>
        <w:t xml:space="preserve">):</w:t>
      </w:r>
      <w:r>
        <w:t xml:space="preserve"> </w:t>
      </w:r>
      <w:r>
        <w:t xml:space="preserve">Discrimination of fracture status within the osteopenic sub-cohort (</w:t>
      </w:r>
      <m:oMath>
        <m:r>
          <m:t>n</m:t>
        </m:r>
        <m:r>
          <m:rPr>
            <m:sty m:val="p"/>
          </m:rPr>
          <m:t>=</m:t>
        </m:r>
        <m:r>
          <m:t>91</m:t>
        </m:r>
      </m:oMath>
      <w:r>
        <w:t xml:space="preserve">; 47 fractures, 44 controls), defined by a WHO</w:t>
      </w:r>
      <w:r>
        <w:t xml:space="preserve"> </w:t>
      </w:r>
      <m:oMath>
        <m:r>
          <m:t>T</m:t>
        </m:r>
      </m:oMath>
      <w:r>
        <w:t xml:space="preserve">-score between -1.0 and -2.5.</w:t>
      </w:r>
      <w:r>
        <w:t xml:space="preserve"> </w:t>
      </w:r>
      <w:r>
        <w:t xml:space="preserve">2.</w:t>
      </w:r>
      <w:r>
        <w:t xml:space="preserve"> </w:t>
      </w:r>
      <w:r>
        <w:rPr>
          <w:b/>
          <w:bCs/>
        </w:rPr>
        <w:t xml:space="preserve">Secondary Objective A (Total Cohort Validation):</w:t>
      </w:r>
      <w:r>
        <w:t xml:space="preserve"> </w:t>
      </w:r>
      <w:r>
        <w:t xml:space="preserve">Validation of structural markers across the total population (</w:t>
      </w:r>
      <m:oMath>
        <m:r>
          <m:t>N</m:t>
        </m:r>
        <m:r>
          <m:rPr>
            <m:sty m:val="p"/>
          </m:rPr>
          <m:t>=</m:t>
        </m:r>
        <m:r>
          <m:t>215</m:t>
        </m:r>
      </m:oMath>
      <w:r>
        <w:t xml:space="preserve">; 118 fractures, 97 controls).</w:t>
      </w:r>
      <w:r>
        <w:t xml:space="preserve"> </w:t>
      </w:r>
      <w:r>
        <w:t xml:space="preserve">3.</w:t>
      </w:r>
      <w:r>
        <w:t xml:space="preserve"> </w:t>
      </w:r>
      <w:r>
        <w:rPr>
          <w:b/>
          <w:bCs/>
        </w:rPr>
        <w:t xml:space="preserve">Secondary Objective B (T2DM Phenotyping):</w:t>
      </w:r>
      <w:r>
        <w:t xml:space="preserve"> </w:t>
      </w:r>
      <w:r>
        <w:t xml:space="preserve">Characterization of the Type 2 Diabetes Mellitus (T2DM) impact as a structural modifier.</w:t>
      </w:r>
    </w:p>
    <w:bookmarkEnd w:id="26"/>
    <w:bookmarkStart w:id="27" w:name="clinical-and-densitometric-assessment"/>
    <w:p>
      <w:pPr>
        <w:pStyle w:val="Heading2"/>
      </w:pPr>
      <w:r>
        <w:t xml:space="preserve">3.2 Clinical and Densitometric Assessment</w:t>
      </w:r>
    </w:p>
    <w:p>
      <w:pPr>
        <w:pStyle w:val="FirstParagraph"/>
      </w:pPr>
      <w:r>
        <w:t xml:space="preserve">Areal Bone Mineral Density (</w:t>
      </w:r>
      <m:oMath>
        <m:r>
          <m:t>a</m:t>
        </m:r>
        <m:r>
          <m:t>B</m:t>
        </m:r>
        <m:r>
          <m:t>M</m:t>
        </m:r>
        <m:r>
          <m:t>D</m:t>
        </m:r>
      </m:oMath>
      <w:r>
        <w:t xml:space="preserve">, g/cm²) and</w:t>
      </w:r>
      <w:r>
        <w:t xml:space="preserve"> </w:t>
      </w:r>
      <m:oMath>
        <m:r>
          <m:t>T</m:t>
        </m:r>
      </m:oMath>
      <w:r>
        <w:t xml:space="preserve">-scores were measured at the lumbar spine (</w:t>
      </w:r>
      <m:oMath>
        <m:r>
          <m:t>L</m:t>
        </m:r>
        <m:r>
          <m:t>1</m:t>
        </m:r>
        <m:r>
          <m:rPr>
            <m:sty m:val="p"/>
          </m:rPr>
          <m:t>−</m:t>
        </m:r>
        <m:r>
          <m:t>L</m:t>
        </m:r>
        <m:r>
          <m:t>4</m:t>
        </m:r>
      </m:oMath>
      <w:r>
        <w:t xml:space="preserve">), femoral neck, and total hip (Prodigy, GE Lunar). The Trabecular Bone Score (TBS) was derived from spine DXA images. 10-year fracture probability was calculated using the FRAX® tool</w:t>
      </w:r>
      <w:r>
        <w:rPr>
          <w:vertAlign w:val="superscript"/>
        </w:rPr>
        <w:t xml:space="preserve">6</w:t>
      </w:r>
      <w:r>
        <w:t xml:space="preserve">..</w:t>
      </w:r>
    </w:p>
    <w:bookmarkEnd w:id="27"/>
    <w:bookmarkStart w:id="28" w:name="hr-pqct-imaging-and-mufea"/>
    <w:p>
      <w:pPr>
        <w:pStyle w:val="Heading2"/>
      </w:pPr>
      <w:r>
        <w:t xml:space="preserve">3.3 HR-pQCT Imaging and</w:t>
      </w:r>
      <w:r>
        <w:t xml:space="preserve"> </w:t>
      </w:r>
      <m:oMath>
        <m:r>
          <m:t>μ</m:t>
        </m:r>
      </m:oMath>
      <w:r>
        <w:t xml:space="preserve">FEA</w:t>
      </w:r>
    </w:p>
    <w:p>
      <w:pPr>
        <w:pStyle w:val="FirstParagraph"/>
      </w:pPr>
      <w:r>
        <w:t xml:space="preserve">Volumetric BMD (</w:t>
      </w:r>
      <m:oMath>
        <m:r>
          <m:t>v</m:t>
        </m:r>
        <m:r>
          <m:t>B</m:t>
        </m:r>
        <m:r>
          <m:t>M</m:t>
        </m:r>
        <m:r>
          <m:t>D</m:t>
        </m:r>
      </m:oMath>
      <w:r>
        <w:t xml:space="preserve">) and microarchitecture were assessed using an XtremeCT II scanner (Scanco Medical AG, Switzerland) with an isotropic voxel size of 61</w:t>
      </w:r>
      <w:r>
        <w:t xml:space="preserve"> </w:t>
      </w:r>
      <m:oMath>
        <m:r>
          <m:t>μ</m:t>
        </m:r>
      </m:oMath>
      <w:r>
        <w:t xml:space="preserve">m.</w:t>
      </w:r>
      <w:r>
        <w:t xml:space="preserve"> </w:t>
      </w:r>
      <w:r>
        <w:t xml:space="preserve">*</w:t>
      </w:r>
      <w:r>
        <w:t xml:space="preserve"> </w:t>
      </w:r>
      <w:r>
        <w:rPr>
          <w:b/>
          <w:bCs/>
        </w:rPr>
        <w:t xml:space="preserve">Morphological Parameters:</w:t>
      </w:r>
      <w:r>
        <w:t xml:space="preserve"> </w:t>
      </w:r>
      <w:r>
        <w:t xml:space="preserve">Key outcomes included total</w:t>
      </w:r>
      <w:r>
        <w:t xml:space="preserve"> </w:t>
      </w:r>
      <m:oMath>
        <m:r>
          <m:t>v</m:t>
        </m:r>
        <m:r>
          <m:t>B</m:t>
        </m:r>
        <m:r>
          <m:t>M</m:t>
        </m:r>
        <m:r>
          <m:t>D</m:t>
        </m:r>
      </m:oMath>
      <w:r>
        <w:t xml:space="preserve"> </w:t>
      </w:r>
      <w:r>
        <w:t xml:space="preserve">(</w:t>
      </w:r>
      <m:oMath>
        <m:r>
          <m:t>T</m:t>
        </m:r>
        <m:r>
          <m:t>t</m:t>
        </m:r>
        <m:r>
          <m:rPr>
            <m:sty m:val="p"/>
          </m:rPr>
          <m:t>.</m:t>
        </m:r>
        <m:r>
          <m:t>v</m:t>
        </m:r>
        <m:r>
          <m:t>B</m:t>
        </m:r>
        <m:r>
          <m:t>M</m:t>
        </m:r>
        <m:r>
          <m:t>D</m:t>
        </m:r>
      </m:oMath>
      <w:r>
        <w:t xml:space="preserve">), trabecular number (</w:t>
      </w:r>
      <m:oMath>
        <m:r>
          <m:t>T</m:t>
        </m:r>
        <m:r>
          <m:t>b</m:t>
        </m:r>
        <m:r>
          <m:rPr>
            <m:sty m:val="p"/>
          </m:rPr>
          <m:t>.</m:t>
        </m:r>
        <m:r>
          <m:t>N</m:t>
        </m:r>
      </m:oMath>
      <w:r>
        <w:t xml:space="preserve">), and cortical porosity (</w:t>
      </w:r>
      <m:oMath>
        <m:r>
          <m:t>C</m:t>
        </m:r>
        <m:r>
          <m:t>t</m:t>
        </m:r>
        <m:r>
          <m:rPr>
            <m:sty m:val="p"/>
          </m:rPr>
          <m:t>.</m:t>
        </m:r>
        <m:r>
          <m:t>P</m:t>
        </m:r>
        <m:r>
          <m:t>o</m:t>
        </m:r>
      </m:oMath>
      <w:r>
        <w:t xml:space="preserve">).</w:t>
      </w:r>
      <w:r>
        <w:t xml:space="preserve"> </w:t>
      </w:r>
      <w:r>
        <w:t xml:space="preserve">*</w:t>
      </w:r>
      <w:r>
        <w:t xml:space="preserve"> </w:t>
      </w:r>
      <w:r>
        <w:rPr>
          <w:b/>
          <w:bCs/>
        </w:rPr>
        <w:t xml:space="preserve">Biomechanical Competence (</w:t>
      </w:r>
      <m:oMath>
        <m:r>
          <m:t>μ</m:t>
        </m:r>
      </m:oMath>
      <w:r>
        <w:rPr>
          <w:b/>
          <w:bCs/>
        </w:rPr>
        <w:t xml:space="preserve">FEA):</w:t>
      </w:r>
      <w:r>
        <w:t xml:space="preserve"> </w:t>
      </w:r>
      <w:r>
        <w:t xml:space="preserve">A linear</w:t>
      </w:r>
      <w:r>
        <w:t xml:space="preserve"> </w:t>
      </w:r>
      <m:oMath>
        <m:r>
          <m:t>μ</m:t>
        </m:r>
      </m:oMath>
      <w:r>
        <w:t xml:space="preserve">FEA solver was used to simulate a uniaxial compression test (1% apparent strain) to derive Failure Load (</w:t>
      </w:r>
      <m:oMath>
        <m:r>
          <m:t>F</m:t>
        </m:r>
        <m:r>
          <m:rPr>
            <m:sty m:val="p"/>
          </m:rPr>
          <m:t>.</m:t>
        </m:r>
        <m:r>
          <m:t>L</m:t>
        </m:r>
        <m:r>
          <m:t>o</m:t>
        </m:r>
        <m:r>
          <m:t>a</m:t>
        </m:r>
        <m:r>
          <m:t>d</m:t>
        </m:r>
      </m:oMath>
      <w:r>
        <w:t xml:space="preserve">, N) and Stiffness (kN/mm). Boundary conditions simulated uniaxial compression between frictionless platens. Elements were assigned a homogeneous isotropic tissue modulus of 6829 MPa and a Poisson’s ratio of 0.3, consistent with the standard Scanco FE evaluation protocol.</w:t>
      </w:r>
    </w:p>
    <w:bookmarkEnd w:id="28"/>
    <w:bookmarkEnd w:id="29"/>
    <w:bookmarkStart w:id="32" w:name="statistical-analysis"/>
    <w:p>
      <w:pPr>
        <w:pStyle w:val="Heading1"/>
      </w:pPr>
      <w:r>
        <w:t xml:space="preserve">4. Statistical Analysis</w:t>
      </w:r>
    </w:p>
    <w:p>
      <w:pPr>
        <w:pStyle w:val="FirstParagraph"/>
      </w:pPr>
      <w:r>
        <w:t xml:space="preserve">Statistical analysis was performed using Python (v3.11). Data distribution was evaluated using Shapiro-Wilk tests and Q-Q plots. Continuous variables are presented as mean</w:t>
      </w:r>
      <w:r>
        <w:t xml:space="preserve"> </w:t>
      </w:r>
      <m:oMath>
        <m:r>
          <m:rPr>
            <m:sty m:val="p"/>
          </m:rPr>
          <m:t>±</m:t>
        </m:r>
      </m:oMath>
      <w:r>
        <w:t xml:space="preserve"> </w:t>
      </w:r>
      <w:r>
        <w:t xml:space="preserve">SD.</w:t>
      </w:r>
    </w:p>
    <w:bookmarkStart w:id="30" w:name="group-comparisons"/>
    <w:p>
      <w:pPr>
        <w:pStyle w:val="Heading2"/>
      </w:pPr>
      <w:r>
        <w:t xml:space="preserve">4.1 Group Comparisons</w:t>
      </w:r>
    </w:p>
    <w:p>
      <w:pPr>
        <w:pStyle w:val="FirstParagraph"/>
      </w:pPr>
      <w:r>
        <w:t xml:space="preserve">Differences were evaluated using independent Student’s</w:t>
      </w:r>
      <w:r>
        <w:t xml:space="preserve"> </w:t>
      </w:r>
      <m:oMath>
        <m:r>
          <m:t>t</m:t>
        </m:r>
      </m:oMath>
      <w:r>
        <w:t xml:space="preserve">-tests or Mann-Whitney</w:t>
      </w:r>
      <w:r>
        <w:t xml:space="preserve"> </w:t>
      </w:r>
      <m:oMath>
        <m:r>
          <m:t>U</m:t>
        </m:r>
      </m:oMath>
      <w:r>
        <w:t xml:space="preserve">-tests. To quantify the clinical magnitude of structural deficits beyond simple</w:t>
      </w:r>
      <w:r>
        <w:t xml:space="preserve"> </w:t>
      </w:r>
      <m:oMath>
        <m:r>
          <m:t>p</m:t>
        </m:r>
      </m:oMath>
      <w:r>
        <w:t xml:space="preserve">-values, Cohen’s</w:t>
      </w:r>
      <w:r>
        <w:t xml:space="preserve"> </w:t>
      </w:r>
      <m:oMath>
        <m:r>
          <m:t>d</m:t>
        </m:r>
      </m:oMath>
      <w:r>
        <w:t xml:space="preserve"> </w:t>
      </w:r>
      <w:r>
        <w:t xml:space="preserve">was calculated (</w:t>
      </w:r>
      <m:oMath>
        <m:r>
          <m:t>d</m:t>
        </m:r>
        <m:r>
          <m:rPr>
            <m:sty m:val="p"/>
          </m:rPr>
          <m:t>&gt;</m:t>
        </m:r>
        <m:r>
          <m:t>0.8</m:t>
        </m:r>
      </m:oMath>
      <w:r>
        <w:t xml:space="preserve"> </w:t>
      </w:r>
      <w:r>
        <w:t xml:space="preserve">considered a large effect).</w:t>
      </w:r>
    </w:p>
    <w:bookmarkEnd w:id="30"/>
    <w:bookmarkStart w:id="31" w:name="discriminative-performance"/>
    <w:p>
      <w:pPr>
        <w:pStyle w:val="Heading2"/>
      </w:pPr>
      <w:r>
        <w:t xml:space="preserve">4.2 Discriminative Performance</w:t>
      </w:r>
    </w:p>
    <w:p>
      <w:pPr>
        <w:pStyle w:val="FirstParagraph"/>
      </w:pPr>
      <w:r>
        <w:t xml:space="preserve">The primary outcome was the Area Under the Curve (AUC) from Receiver Operating Characteristic (ROC) analysis. We compared the AUC of the Structural Model (HR-pQCT) against the Clinical Model (DXA + TBS) specifically within the</w:t>
      </w:r>
      <w:r>
        <w:t xml:space="preserve"> </w:t>
      </w:r>
      <m:oMath>
        <m:r>
          <m:t>n</m:t>
        </m:r>
        <m:r>
          <m:rPr>
            <m:sty m:val="p"/>
          </m:rPr>
          <m:t>=</m:t>
        </m:r>
        <m:r>
          <m:t>91</m:t>
        </m:r>
      </m:oMath>
      <w:r>
        <w:t xml:space="preserve"> </w:t>
      </w:r>
      <w:r>
        <w:t xml:space="preserve">osteopenic sub-cohort.</w:t>
      </w:r>
    </w:p>
    <w:bookmarkEnd w:id="31"/>
    <w:bookmarkEnd w:id="32"/>
    <w:bookmarkStart w:id="50" w:name="results"/>
    <w:p>
      <w:pPr>
        <w:pStyle w:val="Heading1"/>
      </w:pPr>
      <w:r>
        <w:t xml:space="preserve">5. Results</w:t>
      </w:r>
    </w:p>
    <w:bookmarkStart w:id="40" w:name="X08e9953ee37588dc4bf3d055afe75c3a8af9c37"/>
    <w:p>
      <w:pPr>
        <w:pStyle w:val="Heading2"/>
      </w:pPr>
      <w:r>
        <w:t xml:space="preserve">5.1 Primary Objective: The Osteopenic</w:t>
      </w:r>
      <w:r>
        <w:t xml:space="preserve"> </w:t>
      </w:r>
      <w:r>
        <w:t xml:space="preserve">“Grey Zone”</w:t>
      </w:r>
      <w:r>
        <w:t xml:space="preserve"> </w:t>
      </w:r>
      <w:r>
        <w:t xml:space="preserve">(</w:t>
      </w:r>
      <m:oMath>
        <m:r>
          <m:t>n</m:t>
        </m:r>
        <m:r>
          <m:rPr>
            <m:sty m:val="p"/>
          </m:rPr>
          <m:t>=</m:t>
        </m:r>
        <m:r>
          <m:t>91</m:t>
        </m:r>
      </m:oMath>
      <w:r>
        <w:t xml:space="preserve">)</w:t>
      </w:r>
    </w:p>
    <w:p>
      <w:pPr>
        <w:pStyle w:val="FirstParagraph"/>
      </w:pPr>
      <w:r>
        <w:t xml:space="preserve">The primary analysis focused on the 91 postmenopausal women with osteopenia (</w:t>
      </w:r>
      <m:oMath>
        <m:r>
          <m:t>T</m:t>
        </m:r>
      </m:oMath>
      <w:r>
        <w:t xml:space="preserve">-score between -1.0 and -2.5).</w:t>
      </w:r>
    </w:p>
    <w:bookmarkStart w:id="33" w:name="clinical-characteristics"/>
    <w:p>
      <w:pPr>
        <w:pStyle w:val="Heading3"/>
      </w:pPr>
      <w:r>
        <w:t xml:space="preserve">5.1.1 Clinical Characteristics</w:t>
      </w:r>
    </w:p>
    <w:p>
      <w:pPr>
        <w:pStyle w:val="FirstParagraph"/>
      </w:pPr>
      <w:r>
        <w:t xml:space="preserve">As mandated by the study design, there were no significant differences in age or BMI between the fracture and control groups (</w:t>
      </w:r>
      <m:oMath>
        <m:r>
          <m:t>p</m:t>
        </m:r>
        <m:r>
          <m:rPr>
            <m:sty m:val="p"/>
          </m:rPr>
          <m:t>&gt;</m:t>
        </m:r>
        <m:r>
          <m:t>0.05</m:t>
        </m:r>
      </m:oMath>
      <w:r>
        <w:t xml:space="preserve">). Crucially,</w:t>
      </w:r>
      <w:r>
        <w:t xml:space="preserve"> </w:t>
      </w:r>
      <m:oMath>
        <m:r>
          <m:t>a</m:t>
        </m:r>
        <m:r>
          <m:t>B</m:t>
        </m:r>
        <m:r>
          <m:t>M</m:t>
        </m:r>
        <m:r>
          <m:t>D</m:t>
        </m:r>
      </m:oMath>
      <w:r>
        <w:rPr>
          <w:b/>
          <w:bCs/>
        </w:rPr>
        <w:t xml:space="preserve"> </w:t>
      </w:r>
      <w:r>
        <w:rPr>
          <w:b/>
          <w:bCs/>
        </w:rPr>
        <w:t xml:space="preserve">failed to discriminate fracture status</w:t>
      </w:r>
      <w:r>
        <w:t xml:space="preserve"> </w:t>
      </w:r>
      <w:r>
        <w:t xml:space="preserve">in this sub-cohort. Neither FRAX, TBS, nor Neck T-score provided significant discrimination.</w:t>
      </w:r>
    </w:p>
    <w:p>
      <w:pPr>
        <w:pStyle w:val="BodyText"/>
      </w:pPr>
      <w:r>
        <w:rPr>
          <w:b/>
          <w:bCs/>
        </w:rPr>
        <w:t xml:space="preserve">Table 1: Clinical Characteristics &amp; FRAX Risk Assessment (Osteopenia Sub-cohort)</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Parameter</w:t>
            </w:r>
          </w:p>
        </w:tc>
        <w:tc>
          <w:tcPr/>
          <w:p>
            <w:pPr>
              <w:pStyle w:val="Compact"/>
              <w:jc w:val="center"/>
            </w:pPr>
            <w:r>
              <w:t xml:space="preserve">Fracture (n=47)</w:t>
            </w:r>
          </w:p>
        </w:tc>
        <w:tc>
          <w:tcPr/>
          <w:p>
            <w:pPr>
              <w:pStyle w:val="Compact"/>
              <w:jc w:val="center"/>
            </w:pPr>
            <w:r>
              <w:t xml:space="preserve">Control (n=44)</w:t>
            </w:r>
          </w:p>
        </w:tc>
        <w:tc>
          <w:tcPr/>
          <w:p>
            <w:pPr>
              <w:pStyle w:val="Compact"/>
              <w:jc w:val="center"/>
            </w:pPr>
            <w:r>
              <w:t xml:space="preserve">% Diff</w:t>
            </w:r>
          </w:p>
        </w:tc>
        <w:tc>
          <w:tcPr/>
          <w:p>
            <w:pPr>
              <w:pStyle w:val="Compact"/>
              <w:jc w:val="center"/>
            </w:pPr>
            <w:r>
              <w:t xml:space="preserve">P-value</w:t>
            </w:r>
          </w:p>
        </w:tc>
        <w:tc>
          <w:tcPr/>
          <w:p>
            <w:pPr>
              <w:pStyle w:val="Compact"/>
              <w:jc w:val="center"/>
            </w:pPr>
            <w:r>
              <w:t xml:space="preserve">Cohen’s d</w:t>
            </w:r>
          </w:p>
        </w:tc>
      </w:tr>
      <w:tr>
        <w:tc>
          <w:tcPr/>
          <w:p>
            <w:pPr>
              <w:pStyle w:val="Compact"/>
              <w:jc w:val="left"/>
            </w:pPr>
            <w:r>
              <w:t xml:space="preserve">Age (years)</w:t>
            </w:r>
          </w:p>
        </w:tc>
        <w:tc>
          <w:tcPr/>
          <w:p>
            <w:pPr>
              <w:pStyle w:val="Compact"/>
              <w:jc w:val="center"/>
            </w:pPr>
            <w:r>
              <w:t xml:space="preserve">59.51 ± 7.23</w:t>
            </w:r>
          </w:p>
        </w:tc>
        <w:tc>
          <w:tcPr/>
          <w:p>
            <w:pPr>
              <w:pStyle w:val="Compact"/>
              <w:jc w:val="center"/>
            </w:pPr>
            <w:r>
              <w:t xml:space="preserve">57.23 ± 8.87</w:t>
            </w:r>
          </w:p>
        </w:tc>
        <w:tc>
          <w:tcPr/>
          <w:p>
            <w:pPr>
              <w:pStyle w:val="Compact"/>
              <w:jc w:val="center"/>
            </w:pPr>
            <w:r>
              <w:t xml:space="preserve">4.0%</w:t>
            </w:r>
          </w:p>
        </w:tc>
        <w:tc>
          <w:tcPr/>
          <w:p>
            <w:pPr>
              <w:pStyle w:val="Compact"/>
              <w:jc w:val="center"/>
            </w:pPr>
            <w:r>
              <w:t xml:space="preserve">0.184</w:t>
            </w:r>
          </w:p>
        </w:tc>
        <w:tc>
          <w:tcPr/>
          <w:p>
            <w:pPr>
              <w:pStyle w:val="Compact"/>
              <w:jc w:val="center"/>
            </w:pPr>
            <w:r>
              <w:t xml:space="preserve">0.28</w:t>
            </w:r>
          </w:p>
        </w:tc>
      </w:tr>
      <w:tr>
        <w:tc>
          <w:tcPr/>
          <w:p>
            <w:pPr>
              <w:pStyle w:val="Compact"/>
              <w:jc w:val="left"/>
            </w:pPr>
            <w:r>
              <w:t xml:space="preserve">BMI (kg/m²)</w:t>
            </w:r>
          </w:p>
        </w:tc>
        <w:tc>
          <w:tcPr/>
          <w:p>
            <w:pPr>
              <w:pStyle w:val="Compact"/>
              <w:jc w:val="center"/>
            </w:pPr>
            <w:r>
              <w:t xml:space="preserve">28.54 ± 4.40</w:t>
            </w:r>
          </w:p>
        </w:tc>
        <w:tc>
          <w:tcPr/>
          <w:p>
            <w:pPr>
              <w:pStyle w:val="Compact"/>
              <w:jc w:val="center"/>
            </w:pPr>
            <w:r>
              <w:t xml:space="preserve">28.39 ± 4.60</w:t>
            </w:r>
          </w:p>
        </w:tc>
        <w:tc>
          <w:tcPr/>
          <w:p>
            <w:pPr>
              <w:pStyle w:val="Compact"/>
              <w:jc w:val="center"/>
            </w:pPr>
            <w:r>
              <w:t xml:space="preserve">0.5%</w:t>
            </w:r>
          </w:p>
        </w:tc>
        <w:tc>
          <w:tcPr/>
          <w:p>
            <w:pPr>
              <w:pStyle w:val="Compact"/>
              <w:jc w:val="center"/>
            </w:pPr>
            <w:r>
              <w:t xml:space="preserve">0.870</w:t>
            </w:r>
          </w:p>
        </w:tc>
        <w:tc>
          <w:tcPr/>
          <w:p>
            <w:pPr>
              <w:pStyle w:val="Compact"/>
              <w:jc w:val="center"/>
            </w:pPr>
            <w:r>
              <w:t xml:space="preserve">0.03</w:t>
            </w:r>
          </w:p>
        </w:tc>
      </w:tr>
      <w:tr>
        <w:tc>
          <w:tcPr/>
          <w:p>
            <w:pPr>
              <w:pStyle w:val="Compact"/>
              <w:jc w:val="left"/>
            </w:pPr>
            <w:r>
              <w:t xml:space="preserve">L1-L4 T-score</w:t>
            </w:r>
          </w:p>
        </w:tc>
        <w:tc>
          <w:tcPr/>
          <w:p>
            <w:pPr>
              <w:pStyle w:val="Compact"/>
              <w:jc w:val="center"/>
            </w:pPr>
            <w:r>
              <w:t xml:space="preserve">-1.63 ± 0.76</w:t>
            </w:r>
          </w:p>
        </w:tc>
        <w:tc>
          <w:tcPr/>
          <w:p>
            <w:pPr>
              <w:pStyle w:val="Compact"/>
              <w:jc w:val="center"/>
            </w:pPr>
            <w:r>
              <w:t xml:space="preserve">-1.36 ± 0.84</w:t>
            </w:r>
          </w:p>
        </w:tc>
        <w:tc>
          <w:tcPr/>
          <w:p>
            <w:pPr>
              <w:pStyle w:val="Compact"/>
              <w:jc w:val="center"/>
            </w:pPr>
            <w:r>
              <w:t xml:space="preserve">20.0%</w:t>
            </w:r>
          </w:p>
        </w:tc>
        <w:tc>
          <w:tcPr/>
          <w:p>
            <w:pPr>
              <w:pStyle w:val="Compact"/>
              <w:jc w:val="center"/>
            </w:pPr>
            <w:r>
              <w:t xml:space="preserve">0.111</w:t>
            </w:r>
          </w:p>
        </w:tc>
        <w:tc>
          <w:tcPr/>
          <w:p>
            <w:pPr>
              <w:pStyle w:val="Compact"/>
              <w:jc w:val="center"/>
            </w:pPr>
            <w:r>
              <w:t xml:space="preserve">0.34</w:t>
            </w:r>
          </w:p>
        </w:tc>
      </w:tr>
      <w:tr>
        <w:tc>
          <w:tcPr/>
          <w:p>
            <w:pPr>
              <w:pStyle w:val="Compact"/>
              <w:jc w:val="left"/>
            </w:pPr>
            <w:r>
              <w:t xml:space="preserve">Femoral Neck T-score</w:t>
            </w:r>
          </w:p>
        </w:tc>
        <w:tc>
          <w:tcPr/>
          <w:p>
            <w:pPr>
              <w:pStyle w:val="Compact"/>
              <w:jc w:val="center"/>
            </w:pPr>
            <w:r>
              <w:t xml:space="preserve">-1.34 ± 0.65</w:t>
            </w:r>
          </w:p>
        </w:tc>
        <w:tc>
          <w:tcPr/>
          <w:p>
            <w:pPr>
              <w:pStyle w:val="Compact"/>
              <w:jc w:val="center"/>
            </w:pPr>
            <w:r>
              <w:t xml:space="preserve">-1.29 ± 0.57</w:t>
            </w:r>
          </w:p>
        </w:tc>
        <w:tc>
          <w:tcPr/>
          <w:p>
            <w:pPr>
              <w:pStyle w:val="Compact"/>
              <w:jc w:val="center"/>
            </w:pPr>
            <w:r>
              <w:t xml:space="preserve">3.7%</w:t>
            </w:r>
          </w:p>
        </w:tc>
        <w:tc>
          <w:tcPr/>
          <w:p>
            <w:pPr>
              <w:pStyle w:val="Compact"/>
              <w:jc w:val="center"/>
            </w:pPr>
            <w:r>
              <w:t xml:space="preserve">0.712</w:t>
            </w:r>
          </w:p>
        </w:tc>
        <w:tc>
          <w:tcPr/>
          <w:p>
            <w:pPr>
              <w:pStyle w:val="Compact"/>
              <w:jc w:val="center"/>
            </w:pPr>
            <w:r>
              <w:t xml:space="preserve">0.08</w:t>
            </w:r>
          </w:p>
        </w:tc>
      </w:tr>
      <w:tr>
        <w:tc>
          <w:tcPr/>
          <w:p>
            <w:pPr>
              <w:pStyle w:val="Compact"/>
              <w:jc w:val="left"/>
            </w:pPr>
            <w:r>
              <w:t xml:space="preserve">Trabecular Bone Score (TBS)</w:t>
            </w:r>
          </w:p>
        </w:tc>
        <w:tc>
          <w:tcPr/>
          <w:p>
            <w:pPr>
              <w:pStyle w:val="Compact"/>
              <w:jc w:val="center"/>
            </w:pPr>
            <w:r>
              <w:t xml:space="preserve">1.25 ± 0.14</w:t>
            </w:r>
          </w:p>
        </w:tc>
        <w:tc>
          <w:tcPr/>
          <w:p>
            <w:pPr>
              <w:pStyle w:val="Compact"/>
              <w:jc w:val="center"/>
            </w:pPr>
            <w:r>
              <w:t xml:space="preserve">1.28 ± 0.08</w:t>
            </w:r>
          </w:p>
        </w:tc>
        <w:tc>
          <w:tcPr/>
          <w:p>
            <w:pPr>
              <w:pStyle w:val="Compact"/>
              <w:jc w:val="center"/>
            </w:pPr>
            <w:r>
              <w:t xml:space="preserve">-2.3%</w:t>
            </w:r>
          </w:p>
        </w:tc>
        <w:tc>
          <w:tcPr/>
          <w:p>
            <w:pPr>
              <w:pStyle w:val="Compact"/>
              <w:jc w:val="center"/>
            </w:pPr>
            <w:r>
              <w:t xml:space="preserve">0.208</w:t>
            </w:r>
          </w:p>
        </w:tc>
        <w:tc>
          <w:tcPr/>
          <w:p>
            <w:pPr>
              <w:pStyle w:val="Compact"/>
              <w:jc w:val="center"/>
            </w:pPr>
            <w:r>
              <w:t xml:space="preserve">0.26</w:t>
            </w:r>
          </w:p>
        </w:tc>
      </w:tr>
      <w:tr>
        <w:tc>
          <w:tcPr/>
          <w:p>
            <w:pPr>
              <w:pStyle w:val="Compact"/>
              <w:jc w:val="left"/>
            </w:pPr>
            <w:r>
              <w:t xml:space="preserve">FRAX Major Fracture (%)</w:t>
            </w:r>
          </w:p>
        </w:tc>
        <w:tc>
          <w:tcPr/>
          <w:p>
            <w:pPr>
              <w:pStyle w:val="Compact"/>
              <w:jc w:val="center"/>
            </w:pPr>
            <w:r>
              <w:t xml:space="preserve">4.59 ± 3.40</w:t>
            </w:r>
          </w:p>
        </w:tc>
        <w:tc>
          <w:tcPr/>
          <w:p>
            <w:pPr>
              <w:pStyle w:val="Compact"/>
              <w:jc w:val="center"/>
            </w:pPr>
            <w:r>
              <w:t xml:space="preserve">3.86 ± 3.14</w:t>
            </w:r>
          </w:p>
        </w:tc>
        <w:tc>
          <w:tcPr/>
          <w:p>
            <w:pPr>
              <w:pStyle w:val="Compact"/>
              <w:jc w:val="center"/>
            </w:pPr>
            <w:r>
              <w:t xml:space="preserve">18.9%</w:t>
            </w:r>
          </w:p>
        </w:tc>
        <w:tc>
          <w:tcPr/>
          <w:p>
            <w:pPr>
              <w:pStyle w:val="Compact"/>
              <w:jc w:val="center"/>
            </w:pPr>
            <w:r>
              <w:t xml:space="preserve">0.290</w:t>
            </w:r>
          </w:p>
        </w:tc>
        <w:tc>
          <w:tcPr/>
          <w:p>
            <w:pPr>
              <w:pStyle w:val="Compact"/>
              <w:jc w:val="center"/>
            </w:pPr>
            <w:r>
              <w:t xml:space="preserve">0.22</w:t>
            </w:r>
          </w:p>
        </w:tc>
      </w:tr>
      <w:tr>
        <w:tc>
          <w:tcPr/>
          <w:p>
            <w:pPr>
              <w:pStyle w:val="Compact"/>
              <w:jc w:val="left"/>
            </w:pPr>
            <w:r>
              <w:t xml:space="preserve">FRAX Hip Fracture (%)</w:t>
            </w:r>
          </w:p>
        </w:tc>
        <w:tc>
          <w:tcPr/>
          <w:p>
            <w:pPr>
              <w:pStyle w:val="Compact"/>
              <w:jc w:val="center"/>
            </w:pPr>
            <w:r>
              <w:t xml:space="preserve">0.98 ± 1.08</w:t>
            </w:r>
          </w:p>
        </w:tc>
        <w:tc>
          <w:tcPr/>
          <w:p>
            <w:pPr>
              <w:pStyle w:val="Compact"/>
              <w:jc w:val="center"/>
            </w:pPr>
            <w:r>
              <w:t xml:space="preserve">0.85 ± 1.19</w:t>
            </w:r>
          </w:p>
        </w:tc>
        <w:tc>
          <w:tcPr/>
          <w:p>
            <w:pPr>
              <w:pStyle w:val="Compact"/>
              <w:jc w:val="center"/>
            </w:pPr>
            <w:r>
              <w:t xml:space="preserve">14.8%</w:t>
            </w:r>
          </w:p>
        </w:tc>
        <w:tc>
          <w:tcPr/>
          <w:p>
            <w:pPr>
              <w:pStyle w:val="Compact"/>
              <w:jc w:val="center"/>
            </w:pPr>
            <w:r>
              <w:t xml:space="preserve">0.597</w:t>
            </w:r>
          </w:p>
        </w:tc>
        <w:tc>
          <w:tcPr/>
          <w:p>
            <w:pPr>
              <w:pStyle w:val="Compact"/>
              <w:jc w:val="center"/>
            </w:pPr>
            <w:r>
              <w:t xml:space="preserve">0.11</w:t>
            </w:r>
          </w:p>
        </w:tc>
      </w:tr>
    </w:tbl>
    <w:p>
      <w:pPr>
        <w:pStyle w:val="BodyText"/>
      </w:pPr>
      <w:r>
        <w:rPr>
          <w:i/>
          <w:iCs/>
        </w:rPr>
        <w:t xml:space="preserve">Note: Neither FRAX, TBS, nor BMD significantly discriminated fracture status (p &gt; 0.05).</w:t>
      </w:r>
    </w:p>
    <w:bookmarkEnd w:id="33"/>
    <w:bookmarkStart w:id="34" w:name="the-structural-quality-defect"/>
    <w:p>
      <w:pPr>
        <w:pStyle w:val="Heading3"/>
      </w:pPr>
      <w:r>
        <w:t xml:space="preserve">5.1.2 The Structural</w:t>
      </w:r>
      <w:r>
        <w:t xml:space="preserve"> </w:t>
      </w:r>
      <w:r>
        <w:t xml:space="preserve">“Quality”</w:t>
      </w:r>
      <w:r>
        <w:t xml:space="preserve"> </w:t>
      </w:r>
      <w:r>
        <w:t xml:space="preserve">Defect</w:t>
      </w:r>
    </w:p>
    <w:p>
      <w:pPr>
        <w:pStyle w:val="FirstParagraph"/>
      </w:pPr>
      <w:r>
        <w:t xml:space="preserve">In sharp contrast to the clinical parameters, HR-pQCT revealed a profound structural failure in the fracture group. This fragility was characterized by</w:t>
      </w:r>
      <w:r>
        <w:t xml:space="preserve"> </w:t>
      </w:r>
      <w:r>
        <w:rPr>
          <w:b/>
          <w:bCs/>
        </w:rPr>
        <w:t xml:space="preserve">Trabecular Disconnection</w:t>
      </w:r>
      <w:r>
        <w:t xml:space="preserve"> </w:t>
      </w:r>
      <w:r>
        <w:t xml:space="preserve">(reduced</w:t>
      </w:r>
      <w:r>
        <w:t xml:space="preserve"> </w:t>
      </w:r>
      <m:oMath>
        <m:r>
          <m:t>T</m:t>
        </m:r>
        <m:r>
          <m:t>b</m:t>
        </m:r>
        <m:r>
          <m:rPr>
            <m:sty m:val="p"/>
          </m:rPr>
          <m:t>.</m:t>
        </m:r>
        <m:r>
          <m:t>N</m:t>
        </m:r>
      </m:oMath>
      <w:r>
        <w:t xml:space="preserve">) and volumetric density loss.</w:t>
      </w:r>
    </w:p>
    <w:p>
      <w:pPr>
        <w:pStyle w:val="BodyText"/>
      </w:pPr>
      <w:r>
        <w:rPr>
          <w:b/>
          <w:bCs/>
        </w:rPr>
        <w:t xml:space="preserve">Table 2: Comprehensive HR-pQCT &amp;</w:t>
      </w:r>
      <w:r>
        <w:rPr>
          <w:b/>
          <w:bCs/>
        </w:rPr>
        <w:t xml:space="preserve"> </w:t>
      </w:r>
      <m:oMath>
        <m:r>
          <m:t>μ</m:t>
        </m:r>
      </m:oMath>
      <w:r>
        <w:rPr>
          <w:b/>
          <w:bCs/>
        </w:rPr>
        <w:t xml:space="preserve">FEA Parameters (Osteopenia Sub-cohort)</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Parameter</w:t>
            </w:r>
          </w:p>
        </w:tc>
        <w:tc>
          <w:tcPr/>
          <w:p>
            <w:pPr>
              <w:pStyle w:val="Compact"/>
              <w:jc w:val="center"/>
            </w:pPr>
            <w:r>
              <w:t xml:space="preserve">Fracture</w:t>
            </w:r>
          </w:p>
        </w:tc>
        <w:tc>
          <w:tcPr/>
          <w:p>
            <w:pPr>
              <w:pStyle w:val="Compact"/>
              <w:jc w:val="center"/>
            </w:pPr>
            <w:r>
              <w:t xml:space="preserve">Control</w:t>
            </w:r>
          </w:p>
        </w:tc>
        <w:tc>
          <w:tcPr/>
          <w:p>
            <w:pPr>
              <w:pStyle w:val="Compact"/>
              <w:jc w:val="center"/>
            </w:pPr>
            <w:r>
              <w:t xml:space="preserve">% Diff</w:t>
            </w:r>
          </w:p>
        </w:tc>
        <w:tc>
          <w:tcPr/>
          <w:p>
            <w:pPr>
              <w:pStyle w:val="Compact"/>
              <w:jc w:val="center"/>
            </w:pPr>
            <w:r>
              <w:t xml:space="preserve">P-value</w:t>
            </w:r>
          </w:p>
        </w:tc>
        <w:tc>
          <w:tcPr/>
          <w:p>
            <w:pPr>
              <w:pStyle w:val="Compact"/>
              <w:jc w:val="center"/>
            </w:pPr>
            <w:r>
              <w:t xml:space="preserve">Cohen’s d</w:t>
            </w:r>
          </w:p>
        </w:tc>
      </w:tr>
      <w:tr>
        <w:tc>
          <w:tcPr/>
          <w:p>
            <w:pPr>
              <w:pStyle w:val="Compact"/>
              <w:jc w:val="left"/>
            </w:pPr>
            <w:r>
              <w:rPr>
                <w:b/>
                <w:bCs/>
              </w:rPr>
              <w:t xml:space="preserve">Distal Radius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TT.AR</w:t>
            </w:r>
          </w:p>
        </w:tc>
        <w:tc>
          <w:tcPr/>
          <w:p>
            <w:pPr>
              <w:pStyle w:val="Compact"/>
              <w:jc w:val="center"/>
            </w:pPr>
            <w:r>
              <w:t xml:space="preserve">235.77 ± 52.71</w:t>
            </w:r>
          </w:p>
        </w:tc>
        <w:tc>
          <w:tcPr/>
          <w:p>
            <w:pPr>
              <w:pStyle w:val="Compact"/>
              <w:jc w:val="center"/>
            </w:pPr>
            <w:r>
              <w:t xml:space="preserve">232.41 ± 59.23</w:t>
            </w:r>
          </w:p>
        </w:tc>
        <w:tc>
          <w:tcPr/>
          <w:p>
            <w:pPr>
              <w:pStyle w:val="Compact"/>
              <w:jc w:val="center"/>
            </w:pPr>
            <w:r>
              <w:t xml:space="preserve">1.4%</w:t>
            </w:r>
          </w:p>
        </w:tc>
        <w:tc>
          <w:tcPr/>
          <w:p>
            <w:pPr>
              <w:pStyle w:val="Compact"/>
              <w:jc w:val="center"/>
            </w:pPr>
            <w:r>
              <w:t xml:space="preserve">0.776</w:t>
            </w:r>
          </w:p>
        </w:tc>
        <w:tc>
          <w:tcPr/>
          <w:p>
            <w:pPr>
              <w:pStyle w:val="Compact"/>
              <w:jc w:val="center"/>
            </w:pPr>
            <w:r>
              <w:t xml:space="preserve">0.06</w:t>
            </w:r>
          </w:p>
        </w:tc>
      </w:tr>
      <w:tr>
        <w:tc>
          <w:tcPr/>
          <w:p>
            <w:pPr>
              <w:pStyle w:val="Compact"/>
              <w:jc w:val="left"/>
            </w:pPr>
            <w:r>
              <w:t xml:space="preserve">CT.PM</w:t>
            </w:r>
          </w:p>
        </w:tc>
        <w:tc>
          <w:tcPr/>
          <w:p>
            <w:pPr>
              <w:pStyle w:val="Compact"/>
              <w:jc w:val="center"/>
            </w:pPr>
            <w:r>
              <w:t xml:space="preserve">65.99 ± 11.12</w:t>
            </w:r>
          </w:p>
        </w:tc>
        <w:tc>
          <w:tcPr/>
          <w:p>
            <w:pPr>
              <w:pStyle w:val="Compact"/>
              <w:jc w:val="center"/>
            </w:pPr>
            <w:r>
              <w:t xml:space="preserve">63.70 ± 7.90</w:t>
            </w:r>
          </w:p>
        </w:tc>
        <w:tc>
          <w:tcPr/>
          <w:p>
            <w:pPr>
              <w:pStyle w:val="Compact"/>
              <w:jc w:val="center"/>
            </w:pPr>
            <w:r>
              <w:t xml:space="preserve">3.6%</w:t>
            </w:r>
          </w:p>
        </w:tc>
        <w:tc>
          <w:tcPr/>
          <w:p>
            <w:pPr>
              <w:pStyle w:val="Compact"/>
              <w:jc w:val="center"/>
            </w:pPr>
            <w:r>
              <w:t xml:space="preserve">0.258</w:t>
            </w:r>
          </w:p>
        </w:tc>
        <w:tc>
          <w:tcPr/>
          <w:p>
            <w:pPr>
              <w:pStyle w:val="Compact"/>
              <w:jc w:val="center"/>
            </w:pPr>
            <w:r>
              <w:t xml:space="preserve">0.24</w:t>
            </w:r>
          </w:p>
        </w:tc>
      </w:tr>
      <w:tr>
        <w:tc>
          <w:tcPr/>
          <w:p>
            <w:pPr>
              <w:pStyle w:val="Compact"/>
              <w:jc w:val="left"/>
            </w:pPr>
            <w:r>
              <w:t xml:space="preserve">CT.AR</w:t>
            </w:r>
          </w:p>
        </w:tc>
        <w:tc>
          <w:tcPr/>
          <w:p>
            <w:pPr>
              <w:pStyle w:val="Compact"/>
              <w:jc w:val="center"/>
            </w:pPr>
            <w:r>
              <w:t xml:space="preserve">47.33 ± 12.84</w:t>
            </w:r>
          </w:p>
        </w:tc>
        <w:tc>
          <w:tcPr/>
          <w:p>
            <w:pPr>
              <w:pStyle w:val="Compact"/>
              <w:jc w:val="center"/>
            </w:pPr>
            <w:r>
              <w:t xml:space="preserve">50.72 ± 11.02</w:t>
            </w:r>
          </w:p>
        </w:tc>
        <w:tc>
          <w:tcPr/>
          <w:p>
            <w:pPr>
              <w:pStyle w:val="Compact"/>
              <w:jc w:val="center"/>
            </w:pPr>
            <w:r>
              <w:t xml:space="preserve">-6.7%</w:t>
            </w:r>
          </w:p>
        </w:tc>
        <w:tc>
          <w:tcPr/>
          <w:p>
            <w:pPr>
              <w:pStyle w:val="Compact"/>
              <w:jc w:val="center"/>
            </w:pPr>
            <w:r>
              <w:t xml:space="preserve">0.178</w:t>
            </w:r>
          </w:p>
        </w:tc>
        <w:tc>
          <w:tcPr/>
          <w:p>
            <w:pPr>
              <w:pStyle w:val="Compact"/>
              <w:jc w:val="center"/>
            </w:pPr>
            <w:r>
              <w:t xml:space="preserve">0.28</w:t>
            </w:r>
          </w:p>
        </w:tc>
      </w:tr>
      <w:tr>
        <w:tc>
          <w:tcPr/>
          <w:p>
            <w:pPr>
              <w:pStyle w:val="Compact"/>
              <w:jc w:val="left"/>
            </w:pPr>
            <w:r>
              <w:t xml:space="preserve">TB.AR</w:t>
            </w:r>
          </w:p>
        </w:tc>
        <w:tc>
          <w:tcPr/>
          <w:p>
            <w:pPr>
              <w:pStyle w:val="Compact"/>
              <w:jc w:val="center"/>
            </w:pPr>
            <w:r>
              <w:t xml:space="preserve">191.17 ± 50.22</w:t>
            </w:r>
          </w:p>
        </w:tc>
        <w:tc>
          <w:tcPr/>
          <w:p>
            <w:pPr>
              <w:pStyle w:val="Compact"/>
              <w:jc w:val="center"/>
            </w:pPr>
            <w:r>
              <w:t xml:space="preserve">184.50 ± 55.68</w:t>
            </w:r>
          </w:p>
        </w:tc>
        <w:tc>
          <w:tcPr/>
          <w:p>
            <w:pPr>
              <w:pStyle w:val="Compact"/>
              <w:jc w:val="center"/>
            </w:pPr>
            <w:r>
              <w:t xml:space="preserve">3.6%</w:t>
            </w:r>
          </w:p>
        </w:tc>
        <w:tc>
          <w:tcPr/>
          <w:p>
            <w:pPr>
              <w:pStyle w:val="Compact"/>
              <w:jc w:val="center"/>
            </w:pPr>
            <w:r>
              <w:t xml:space="preserve">0.551</w:t>
            </w:r>
          </w:p>
        </w:tc>
        <w:tc>
          <w:tcPr/>
          <w:p>
            <w:pPr>
              <w:pStyle w:val="Compact"/>
              <w:jc w:val="center"/>
            </w:pPr>
            <w:r>
              <w:t xml:space="preserve">0.13</w:t>
            </w:r>
          </w:p>
        </w:tc>
      </w:tr>
      <w:tr>
        <w:tc>
          <w:tcPr/>
          <w:p>
            <w:pPr>
              <w:pStyle w:val="Compact"/>
              <w:jc w:val="left"/>
            </w:pPr>
            <w:r>
              <w:t xml:space="preserve">TB.META.AR</w:t>
            </w:r>
          </w:p>
        </w:tc>
        <w:tc>
          <w:tcPr/>
          <w:p>
            <w:pPr>
              <w:pStyle w:val="Compact"/>
              <w:jc w:val="center"/>
            </w:pPr>
            <w:r>
              <w:t xml:space="preserve">77.70 ± 20.23</w:t>
            </w:r>
          </w:p>
        </w:tc>
        <w:tc>
          <w:tcPr/>
          <w:p>
            <w:pPr>
              <w:pStyle w:val="Compact"/>
              <w:jc w:val="center"/>
            </w:pPr>
            <w:r>
              <w:t xml:space="preserve">75.06 ± 22.44</w:t>
            </w:r>
          </w:p>
        </w:tc>
        <w:tc>
          <w:tcPr/>
          <w:p>
            <w:pPr>
              <w:pStyle w:val="Compact"/>
              <w:jc w:val="center"/>
            </w:pPr>
            <w:r>
              <w:t xml:space="preserve">3.5%</w:t>
            </w:r>
          </w:p>
        </w:tc>
        <w:tc>
          <w:tcPr/>
          <w:p>
            <w:pPr>
              <w:pStyle w:val="Compact"/>
              <w:jc w:val="center"/>
            </w:pPr>
            <w:r>
              <w:t xml:space="preserve">0.557</w:t>
            </w:r>
          </w:p>
        </w:tc>
        <w:tc>
          <w:tcPr/>
          <w:p>
            <w:pPr>
              <w:pStyle w:val="Compact"/>
              <w:jc w:val="center"/>
            </w:pPr>
            <w:r>
              <w:t xml:space="preserve">0.12</w:t>
            </w:r>
          </w:p>
        </w:tc>
      </w:tr>
      <w:tr>
        <w:tc>
          <w:tcPr/>
          <w:p>
            <w:pPr>
              <w:pStyle w:val="Compact"/>
              <w:jc w:val="left"/>
            </w:pPr>
            <w:r>
              <w:t xml:space="preserve">TB.INN.AR</w:t>
            </w:r>
          </w:p>
        </w:tc>
        <w:tc>
          <w:tcPr/>
          <w:p>
            <w:pPr>
              <w:pStyle w:val="Compact"/>
              <w:jc w:val="center"/>
            </w:pPr>
            <w:r>
              <w:t xml:space="preserve">113.40 ± 29.95</w:t>
            </w:r>
          </w:p>
        </w:tc>
        <w:tc>
          <w:tcPr/>
          <w:p>
            <w:pPr>
              <w:pStyle w:val="Compact"/>
              <w:jc w:val="center"/>
            </w:pPr>
            <w:r>
              <w:t xml:space="preserve">109.45 ± 33.23</w:t>
            </w:r>
          </w:p>
        </w:tc>
        <w:tc>
          <w:tcPr/>
          <w:p>
            <w:pPr>
              <w:pStyle w:val="Compact"/>
              <w:jc w:val="center"/>
            </w:pPr>
            <w:r>
              <w:t xml:space="preserve">3.6%</w:t>
            </w:r>
          </w:p>
        </w:tc>
        <w:tc>
          <w:tcPr/>
          <w:p>
            <w:pPr>
              <w:pStyle w:val="Compact"/>
              <w:jc w:val="center"/>
            </w:pPr>
            <w:r>
              <w:t xml:space="preserve">0.553</w:t>
            </w:r>
          </w:p>
        </w:tc>
        <w:tc>
          <w:tcPr/>
          <w:p>
            <w:pPr>
              <w:pStyle w:val="Compact"/>
              <w:jc w:val="center"/>
            </w:pPr>
            <w:r>
              <w:t xml:space="preserve">0.13</w:t>
            </w:r>
          </w:p>
        </w:tc>
      </w:tr>
      <w:tr>
        <w:tc>
          <w:tcPr/>
          <w:p>
            <w:pPr>
              <w:pStyle w:val="Compact"/>
              <w:jc w:val="left"/>
            </w:pPr>
            <w:r>
              <w:t xml:space="preserve">ttvBMD</w:t>
            </w:r>
          </w:p>
        </w:tc>
        <w:tc>
          <w:tcPr/>
          <w:p>
            <w:pPr>
              <w:pStyle w:val="Compact"/>
              <w:jc w:val="center"/>
            </w:pPr>
            <w:r>
              <w:t xml:space="preserve">251.54 ± 68.23</w:t>
            </w:r>
          </w:p>
        </w:tc>
        <w:tc>
          <w:tcPr/>
          <w:p>
            <w:pPr>
              <w:pStyle w:val="Compact"/>
              <w:jc w:val="center"/>
            </w:pPr>
            <w:r>
              <w:t xml:space="preserve">290.58 ± 64.85</w:t>
            </w:r>
          </w:p>
        </w:tc>
        <w:tc>
          <w:tcPr/>
          <w:p>
            <w:pPr>
              <w:pStyle w:val="Compact"/>
              <w:jc w:val="center"/>
            </w:pPr>
            <w:r>
              <w:t xml:space="preserve">-13.4%</w:t>
            </w:r>
          </w:p>
        </w:tc>
        <w:tc>
          <w:tcPr/>
          <w:p>
            <w:pPr>
              <w:pStyle w:val="Compact"/>
              <w:jc w:val="center"/>
            </w:pPr>
            <w:r>
              <w:rPr>
                <w:b/>
                <w:bCs/>
              </w:rPr>
              <w:t xml:space="preserve">0.006</w:t>
            </w:r>
          </w:p>
        </w:tc>
        <w:tc>
          <w:tcPr/>
          <w:p>
            <w:pPr>
              <w:pStyle w:val="Compact"/>
              <w:jc w:val="center"/>
            </w:pPr>
            <w:r>
              <w:t xml:space="preserve">0.59</w:t>
            </w:r>
          </w:p>
        </w:tc>
      </w:tr>
      <w:tr>
        <w:tc>
          <w:tcPr/>
          <w:p>
            <w:pPr>
              <w:pStyle w:val="Compact"/>
              <w:jc w:val="left"/>
            </w:pPr>
            <w:r>
              <w:t xml:space="preserve">tbvBMD</w:t>
            </w:r>
          </w:p>
        </w:tc>
        <w:tc>
          <w:tcPr/>
          <w:p>
            <w:pPr>
              <w:pStyle w:val="Compact"/>
              <w:jc w:val="center"/>
            </w:pPr>
            <w:r>
              <w:t xml:space="preserve">94.75 ± 30.43</w:t>
            </w:r>
          </w:p>
        </w:tc>
        <w:tc>
          <w:tcPr/>
          <w:p>
            <w:pPr>
              <w:pStyle w:val="Compact"/>
              <w:jc w:val="center"/>
            </w:pPr>
            <w:r>
              <w:t xml:space="preserve">120.36 ± 35.15</w:t>
            </w:r>
          </w:p>
        </w:tc>
        <w:tc>
          <w:tcPr/>
          <w:p>
            <w:pPr>
              <w:pStyle w:val="Compact"/>
              <w:jc w:val="center"/>
            </w:pPr>
            <w:r>
              <w:t xml:space="preserve">-21.3%</w:t>
            </w:r>
          </w:p>
        </w:tc>
        <w:tc>
          <w:tcPr/>
          <w:p>
            <w:pPr>
              <w:pStyle w:val="Compact"/>
              <w:jc w:val="center"/>
            </w:pPr>
            <w:r>
              <w:rPr>
                <w:b/>
                <w:bCs/>
              </w:rPr>
              <w:t xml:space="preserve">&lt;0.001</w:t>
            </w:r>
          </w:p>
        </w:tc>
        <w:tc>
          <w:tcPr/>
          <w:p>
            <w:pPr>
              <w:pStyle w:val="Compact"/>
              <w:jc w:val="center"/>
            </w:pPr>
            <w:r>
              <w:t xml:space="preserve">0.78</w:t>
            </w:r>
          </w:p>
        </w:tc>
      </w:tr>
      <w:tr>
        <w:tc>
          <w:tcPr/>
          <w:p>
            <w:pPr>
              <w:pStyle w:val="Compact"/>
              <w:jc w:val="left"/>
            </w:pPr>
            <w:r>
              <w:t xml:space="preserve">TbMeta.v.BMD</w:t>
            </w:r>
          </w:p>
        </w:tc>
        <w:tc>
          <w:tcPr/>
          <w:p>
            <w:pPr>
              <w:pStyle w:val="Compact"/>
              <w:jc w:val="center"/>
            </w:pPr>
            <w:r>
              <w:t xml:space="preserve">152.43 ± 32.14</w:t>
            </w:r>
          </w:p>
        </w:tc>
        <w:tc>
          <w:tcPr/>
          <w:p>
            <w:pPr>
              <w:pStyle w:val="Compact"/>
              <w:jc w:val="center"/>
            </w:pPr>
            <w:r>
              <w:t xml:space="preserve">179.80 ± 36.04</w:t>
            </w:r>
          </w:p>
        </w:tc>
        <w:tc>
          <w:tcPr/>
          <w:p>
            <w:pPr>
              <w:pStyle w:val="Compact"/>
              <w:jc w:val="center"/>
            </w:pPr>
            <w:r>
              <w:t xml:space="preserve">-15.2%</w:t>
            </w:r>
          </w:p>
        </w:tc>
        <w:tc>
          <w:tcPr/>
          <w:p>
            <w:pPr>
              <w:pStyle w:val="Compact"/>
              <w:jc w:val="center"/>
            </w:pPr>
            <w:r>
              <w:rPr>
                <w:b/>
                <w:bCs/>
              </w:rPr>
              <w:t xml:space="preserve">&lt;0.001</w:t>
            </w:r>
          </w:p>
        </w:tc>
        <w:tc>
          <w:tcPr/>
          <w:p>
            <w:pPr>
              <w:pStyle w:val="Compact"/>
              <w:jc w:val="center"/>
            </w:pPr>
            <w:r>
              <w:t xml:space="preserve">0.80</w:t>
            </w:r>
          </w:p>
        </w:tc>
      </w:tr>
      <w:tr>
        <w:tc>
          <w:tcPr/>
          <w:p>
            <w:pPr>
              <w:pStyle w:val="Compact"/>
              <w:jc w:val="left"/>
            </w:pPr>
            <w:r>
              <w:t xml:space="preserve">Tb.inn.BMD</w:t>
            </w:r>
          </w:p>
        </w:tc>
        <w:tc>
          <w:tcPr/>
          <w:p>
            <w:pPr>
              <w:pStyle w:val="Compact"/>
              <w:jc w:val="center"/>
            </w:pPr>
            <w:r>
              <w:t xml:space="preserve">55.14 ± 30.88</w:t>
            </w:r>
          </w:p>
        </w:tc>
        <w:tc>
          <w:tcPr/>
          <w:p>
            <w:pPr>
              <w:pStyle w:val="Compact"/>
              <w:jc w:val="center"/>
            </w:pPr>
            <w:r>
              <w:t xml:space="preserve">79.59 ± 36.18</w:t>
            </w:r>
          </w:p>
        </w:tc>
        <w:tc>
          <w:tcPr/>
          <w:p>
            <w:pPr>
              <w:pStyle w:val="Compact"/>
              <w:jc w:val="center"/>
            </w:pPr>
            <w:r>
              <w:t xml:space="preserve">-30.7%</w:t>
            </w:r>
          </w:p>
        </w:tc>
        <w:tc>
          <w:tcPr/>
          <w:p>
            <w:pPr>
              <w:pStyle w:val="Compact"/>
              <w:jc w:val="center"/>
            </w:pPr>
            <w:r>
              <w:rPr>
                <w:b/>
                <w:bCs/>
              </w:rPr>
              <w:t xml:space="preserve">&lt;0.001</w:t>
            </w:r>
          </w:p>
        </w:tc>
        <w:tc>
          <w:tcPr/>
          <w:p>
            <w:pPr>
              <w:pStyle w:val="Compact"/>
              <w:jc w:val="center"/>
            </w:pPr>
            <w:r>
              <w:t xml:space="preserve">0.73</w:t>
            </w:r>
          </w:p>
        </w:tc>
      </w:tr>
      <w:tr>
        <w:tc>
          <w:tcPr/>
          <w:p>
            <w:pPr>
              <w:pStyle w:val="Compact"/>
              <w:jc w:val="left"/>
            </w:pPr>
            <w:r>
              <w:t xml:space="preserve">CTvBMD</w:t>
            </w:r>
          </w:p>
        </w:tc>
        <w:tc>
          <w:tcPr/>
          <w:p>
            <w:pPr>
              <w:pStyle w:val="Compact"/>
              <w:jc w:val="center"/>
            </w:pPr>
            <w:r>
              <w:t xml:space="preserve">863.91 ± 74.87</w:t>
            </w:r>
          </w:p>
        </w:tc>
        <w:tc>
          <w:tcPr/>
          <w:p>
            <w:pPr>
              <w:pStyle w:val="Compact"/>
              <w:jc w:val="center"/>
            </w:pPr>
            <w:r>
              <w:t xml:space="preserve">885.62 ± 73.50</w:t>
            </w:r>
          </w:p>
        </w:tc>
        <w:tc>
          <w:tcPr/>
          <w:p>
            <w:pPr>
              <w:pStyle w:val="Compact"/>
              <w:jc w:val="center"/>
            </w:pPr>
            <w:r>
              <w:t xml:space="preserve">-2.5%</w:t>
            </w:r>
          </w:p>
        </w:tc>
        <w:tc>
          <w:tcPr/>
          <w:p>
            <w:pPr>
              <w:pStyle w:val="Compact"/>
              <w:jc w:val="center"/>
            </w:pPr>
            <w:r>
              <w:t xml:space="preserve">0.166</w:t>
            </w:r>
          </w:p>
        </w:tc>
        <w:tc>
          <w:tcPr/>
          <w:p>
            <w:pPr>
              <w:pStyle w:val="Compact"/>
              <w:jc w:val="center"/>
            </w:pPr>
            <w:r>
              <w:t xml:space="preserve">0.29</w:t>
            </w:r>
          </w:p>
        </w:tc>
      </w:tr>
      <w:tr>
        <w:tc>
          <w:tcPr/>
          <w:p>
            <w:pPr>
              <w:pStyle w:val="Compact"/>
              <w:jc w:val="left"/>
            </w:pPr>
            <w:r>
              <w:t xml:space="preserve">BV/TV</w:t>
            </w:r>
          </w:p>
        </w:tc>
        <w:tc>
          <w:tcPr/>
          <w:p>
            <w:pPr>
              <w:pStyle w:val="Compact"/>
              <w:jc w:val="center"/>
            </w:pPr>
            <w:r>
              <w:t xml:space="preserve">0.13 ± 0.04</w:t>
            </w:r>
          </w:p>
        </w:tc>
        <w:tc>
          <w:tcPr/>
          <w:p>
            <w:pPr>
              <w:pStyle w:val="Compact"/>
              <w:jc w:val="center"/>
            </w:pPr>
            <w:r>
              <w:t xml:space="preserve">0.17 ± 0.05</w:t>
            </w:r>
          </w:p>
        </w:tc>
        <w:tc>
          <w:tcPr/>
          <w:p>
            <w:pPr>
              <w:pStyle w:val="Compact"/>
              <w:jc w:val="center"/>
            </w:pPr>
            <w:r>
              <w:t xml:space="preserve">-20.4%</w:t>
            </w:r>
          </w:p>
        </w:tc>
        <w:tc>
          <w:tcPr/>
          <w:p>
            <w:pPr>
              <w:pStyle w:val="Compact"/>
              <w:jc w:val="center"/>
            </w:pPr>
            <w:r>
              <w:rPr>
                <w:b/>
                <w:bCs/>
              </w:rPr>
              <w:t xml:space="preserve">&lt;0.001</w:t>
            </w:r>
          </w:p>
        </w:tc>
        <w:tc>
          <w:tcPr/>
          <w:p>
            <w:pPr>
              <w:pStyle w:val="Compact"/>
              <w:jc w:val="center"/>
            </w:pPr>
            <w:r>
              <w:t xml:space="preserve">0.75</w:t>
            </w:r>
          </w:p>
        </w:tc>
      </w:tr>
      <w:tr>
        <w:tc>
          <w:tcPr/>
          <w:p>
            <w:pPr>
              <w:pStyle w:val="Compact"/>
              <w:jc w:val="left"/>
            </w:pPr>
            <w:r>
              <w:t xml:space="preserve">TB.N</w:t>
            </w:r>
          </w:p>
        </w:tc>
        <w:tc>
          <w:tcPr/>
          <w:p>
            <w:pPr>
              <w:pStyle w:val="Compact"/>
              <w:jc w:val="center"/>
            </w:pPr>
            <w:r>
              <w:t xml:space="preserve">1.03 ± 0.22</w:t>
            </w:r>
          </w:p>
        </w:tc>
        <w:tc>
          <w:tcPr/>
          <w:p>
            <w:pPr>
              <w:pStyle w:val="Compact"/>
              <w:jc w:val="center"/>
            </w:pPr>
            <w:r>
              <w:t xml:space="preserve">1.21 ± 0.21</w:t>
            </w:r>
          </w:p>
        </w:tc>
        <w:tc>
          <w:tcPr/>
          <w:p>
            <w:pPr>
              <w:pStyle w:val="Compact"/>
              <w:jc w:val="center"/>
            </w:pPr>
            <w:r>
              <w:t xml:space="preserve">-15.1%</w:t>
            </w:r>
          </w:p>
        </w:tc>
        <w:tc>
          <w:tcPr/>
          <w:p>
            <w:pPr>
              <w:pStyle w:val="Compact"/>
              <w:jc w:val="center"/>
            </w:pPr>
            <w:r>
              <w:rPr>
                <w:b/>
                <w:bCs/>
              </w:rPr>
              <w:t xml:space="preserve">&lt;0.001</w:t>
            </w:r>
          </w:p>
        </w:tc>
        <w:tc>
          <w:tcPr/>
          <w:p>
            <w:pPr>
              <w:pStyle w:val="Compact"/>
              <w:jc w:val="center"/>
            </w:pPr>
            <w:r>
              <w:t xml:space="preserve">0.84</w:t>
            </w:r>
          </w:p>
        </w:tc>
      </w:tr>
      <w:tr>
        <w:tc>
          <w:tcPr/>
          <w:p>
            <w:pPr>
              <w:pStyle w:val="Compact"/>
              <w:jc w:val="left"/>
            </w:pPr>
            <w:r>
              <w:t xml:space="preserve">TB.TH</w:t>
            </w:r>
          </w:p>
        </w:tc>
        <w:tc>
          <w:tcPr/>
          <w:p>
            <w:pPr>
              <w:pStyle w:val="Compact"/>
              <w:jc w:val="center"/>
            </w:pPr>
            <w:r>
              <w:t xml:space="preserve">0.21 ± 0.02</w:t>
            </w:r>
          </w:p>
        </w:tc>
        <w:tc>
          <w:tcPr/>
          <w:p>
            <w:pPr>
              <w:pStyle w:val="Compact"/>
              <w:jc w:val="center"/>
            </w:pPr>
            <w:r>
              <w:t xml:space="preserve">0.22 ± 0.02</w:t>
            </w:r>
          </w:p>
        </w:tc>
        <w:tc>
          <w:tcPr/>
          <w:p>
            <w:pPr>
              <w:pStyle w:val="Compact"/>
              <w:jc w:val="center"/>
            </w:pPr>
            <w:r>
              <w:t xml:space="preserve">-3.3%</w:t>
            </w:r>
          </w:p>
        </w:tc>
        <w:tc>
          <w:tcPr/>
          <w:p>
            <w:pPr>
              <w:pStyle w:val="Compact"/>
              <w:jc w:val="center"/>
            </w:pPr>
            <w:r>
              <w:t xml:space="preserve">0.130</w:t>
            </w:r>
          </w:p>
        </w:tc>
        <w:tc>
          <w:tcPr/>
          <w:p>
            <w:pPr>
              <w:pStyle w:val="Compact"/>
              <w:jc w:val="center"/>
            </w:pPr>
            <w:r>
              <w:t xml:space="preserve">0.32</w:t>
            </w:r>
          </w:p>
        </w:tc>
      </w:tr>
      <w:tr>
        <w:tc>
          <w:tcPr/>
          <w:p>
            <w:pPr>
              <w:pStyle w:val="Compact"/>
              <w:jc w:val="left"/>
            </w:pPr>
            <w:r>
              <w:t xml:space="preserve">TB.SP</w:t>
            </w:r>
          </w:p>
        </w:tc>
        <w:tc>
          <w:tcPr/>
          <w:p>
            <w:pPr>
              <w:pStyle w:val="Compact"/>
              <w:jc w:val="center"/>
            </w:pPr>
            <w:r>
              <w:t xml:space="preserve">1.00 ± 0.23</w:t>
            </w:r>
          </w:p>
        </w:tc>
        <w:tc>
          <w:tcPr/>
          <w:p>
            <w:pPr>
              <w:pStyle w:val="Compact"/>
              <w:jc w:val="center"/>
            </w:pPr>
            <w:r>
              <w:t xml:space="preserve">0.83 ± 0.19</w:t>
            </w:r>
          </w:p>
        </w:tc>
        <w:tc>
          <w:tcPr/>
          <w:p>
            <w:pPr>
              <w:pStyle w:val="Compact"/>
              <w:jc w:val="center"/>
            </w:pPr>
            <w:r>
              <w:t xml:space="preserve">20.4%</w:t>
            </w:r>
          </w:p>
        </w:tc>
        <w:tc>
          <w:tcPr/>
          <w:p>
            <w:pPr>
              <w:pStyle w:val="Compact"/>
              <w:jc w:val="center"/>
            </w:pPr>
            <w:r>
              <w:rPr>
                <w:b/>
                <w:bCs/>
              </w:rPr>
              <w:t xml:space="preserve">&lt;0.001</w:t>
            </w:r>
          </w:p>
        </w:tc>
        <w:tc>
          <w:tcPr/>
          <w:p>
            <w:pPr>
              <w:pStyle w:val="Compact"/>
              <w:jc w:val="center"/>
            </w:pPr>
            <w:r>
              <w:t xml:space="preserve">0.80</w:t>
            </w:r>
          </w:p>
        </w:tc>
      </w:tr>
      <w:tr>
        <w:tc>
          <w:tcPr/>
          <w:p>
            <w:pPr>
              <w:pStyle w:val="Compact"/>
              <w:jc w:val="left"/>
            </w:pPr>
            <w:r>
              <w:t xml:space="preserve">TB.1/N.SD</w:t>
            </w:r>
          </w:p>
        </w:tc>
        <w:tc>
          <w:tcPr/>
          <w:p>
            <w:pPr>
              <w:pStyle w:val="Compact"/>
              <w:jc w:val="center"/>
            </w:pPr>
            <w:r>
              <w:t xml:space="preserve">0.43 ± 0.19</w:t>
            </w:r>
          </w:p>
        </w:tc>
        <w:tc>
          <w:tcPr/>
          <w:p>
            <w:pPr>
              <w:pStyle w:val="Compact"/>
              <w:jc w:val="center"/>
            </w:pPr>
            <w:r>
              <w:t xml:space="preserve">0.32 ± 0.09</w:t>
            </w:r>
          </w:p>
        </w:tc>
        <w:tc>
          <w:tcPr/>
          <w:p>
            <w:pPr>
              <w:pStyle w:val="Compact"/>
              <w:jc w:val="center"/>
            </w:pPr>
            <w:r>
              <w:t xml:space="preserve">35.3%</w:t>
            </w:r>
          </w:p>
        </w:tc>
        <w:tc>
          <w:tcPr/>
          <w:p>
            <w:pPr>
              <w:pStyle w:val="Compact"/>
              <w:jc w:val="center"/>
            </w:pPr>
            <w:r>
              <w:rPr>
                <w:b/>
                <w:bCs/>
              </w:rPr>
              <w:t xml:space="preserve">&lt;0.001</w:t>
            </w:r>
          </w:p>
        </w:tc>
        <w:tc>
          <w:tcPr/>
          <w:p>
            <w:pPr>
              <w:pStyle w:val="Compact"/>
              <w:jc w:val="center"/>
            </w:pPr>
            <w:r>
              <w:t xml:space="preserve">0.75</w:t>
            </w:r>
          </w:p>
        </w:tc>
      </w:tr>
      <w:tr>
        <w:tc>
          <w:tcPr/>
          <w:p>
            <w:pPr>
              <w:pStyle w:val="Compact"/>
              <w:jc w:val="left"/>
            </w:pPr>
            <w:r>
              <w:t xml:space="preserve">CT.TH</w:t>
            </w:r>
          </w:p>
        </w:tc>
        <w:tc>
          <w:tcPr/>
          <w:p>
            <w:pPr>
              <w:pStyle w:val="Compact"/>
              <w:jc w:val="center"/>
            </w:pPr>
            <w:r>
              <w:t xml:space="preserve">0.90 ± 0.25</w:t>
            </w:r>
          </w:p>
        </w:tc>
        <w:tc>
          <w:tcPr/>
          <w:p>
            <w:pPr>
              <w:pStyle w:val="Compact"/>
              <w:jc w:val="center"/>
            </w:pPr>
            <w:r>
              <w:t xml:space="preserve">0.97 ± 0.21</w:t>
            </w:r>
          </w:p>
        </w:tc>
        <w:tc>
          <w:tcPr/>
          <w:p>
            <w:pPr>
              <w:pStyle w:val="Compact"/>
              <w:jc w:val="center"/>
            </w:pPr>
            <w:r>
              <w:t xml:space="preserve">-7.5%</w:t>
            </w:r>
          </w:p>
        </w:tc>
        <w:tc>
          <w:tcPr/>
          <w:p>
            <w:pPr>
              <w:pStyle w:val="Compact"/>
              <w:jc w:val="center"/>
            </w:pPr>
            <w:r>
              <w:t xml:space="preserve">0.128</w:t>
            </w:r>
          </w:p>
        </w:tc>
        <w:tc>
          <w:tcPr/>
          <w:p>
            <w:pPr>
              <w:pStyle w:val="Compact"/>
              <w:jc w:val="center"/>
            </w:pPr>
            <w:r>
              <w:t xml:space="preserve">0.32</w:t>
            </w:r>
          </w:p>
        </w:tc>
      </w:tr>
      <w:tr>
        <w:tc>
          <w:tcPr/>
          <w:p>
            <w:pPr>
              <w:pStyle w:val="Compact"/>
              <w:jc w:val="left"/>
            </w:pPr>
            <w:r>
              <w:t xml:space="preserve">CT.PO</w:t>
            </w:r>
          </w:p>
        </w:tc>
        <w:tc>
          <w:tcPr/>
          <w:p>
            <w:pPr>
              <w:pStyle w:val="Compact"/>
              <w:jc w:val="center"/>
            </w:pPr>
            <w:r>
              <w:t xml:space="preserve">0.01 ± 0.02</w:t>
            </w:r>
          </w:p>
        </w:tc>
        <w:tc>
          <w:tcPr/>
          <w:p>
            <w:pPr>
              <w:pStyle w:val="Compact"/>
              <w:jc w:val="center"/>
            </w:pPr>
            <w:r>
              <w:t xml:space="preserve">0.01 ± 0.01</w:t>
            </w:r>
          </w:p>
        </w:tc>
        <w:tc>
          <w:tcPr/>
          <w:p>
            <w:pPr>
              <w:pStyle w:val="Compact"/>
              <w:jc w:val="center"/>
            </w:pPr>
            <w:r>
              <w:t xml:space="preserve">19.9%</w:t>
            </w:r>
          </w:p>
        </w:tc>
        <w:tc>
          <w:tcPr/>
          <w:p>
            <w:pPr>
              <w:pStyle w:val="Compact"/>
              <w:jc w:val="center"/>
            </w:pPr>
            <w:r>
              <w:t xml:space="preserve">0.550</w:t>
            </w:r>
          </w:p>
        </w:tc>
        <w:tc>
          <w:tcPr/>
          <w:p>
            <w:pPr>
              <w:pStyle w:val="Compact"/>
              <w:jc w:val="center"/>
            </w:pPr>
            <w:r>
              <w:t xml:space="preserve">0.12</w:t>
            </w:r>
          </w:p>
        </w:tc>
      </w:tr>
      <w:tr>
        <w:tc>
          <w:tcPr/>
          <w:p>
            <w:pPr>
              <w:pStyle w:val="Compact"/>
              <w:jc w:val="left"/>
            </w:pPr>
            <w:r>
              <w:t xml:space="preserve">CT.PO.DM</w:t>
            </w:r>
          </w:p>
        </w:tc>
        <w:tc>
          <w:tcPr/>
          <w:p>
            <w:pPr>
              <w:pStyle w:val="Compact"/>
              <w:jc w:val="center"/>
            </w:pPr>
            <w:r>
              <w:t xml:space="preserve">0.18 ± 0.04</w:t>
            </w:r>
          </w:p>
        </w:tc>
        <w:tc>
          <w:tcPr/>
          <w:p>
            <w:pPr>
              <w:pStyle w:val="Compact"/>
              <w:jc w:val="center"/>
            </w:pPr>
            <w:r>
              <w:t xml:space="preserve">0.18 ± 0.04</w:t>
            </w:r>
          </w:p>
        </w:tc>
        <w:tc>
          <w:tcPr/>
          <w:p>
            <w:pPr>
              <w:pStyle w:val="Compact"/>
              <w:jc w:val="center"/>
            </w:pPr>
            <w:r>
              <w:t xml:space="preserve">-1.3%</w:t>
            </w:r>
          </w:p>
        </w:tc>
        <w:tc>
          <w:tcPr/>
          <w:p>
            <w:pPr>
              <w:pStyle w:val="Compact"/>
              <w:jc w:val="center"/>
            </w:pPr>
            <w:r>
              <w:t xml:space="preserve">0.783</w:t>
            </w:r>
          </w:p>
        </w:tc>
        <w:tc>
          <w:tcPr/>
          <w:p>
            <w:pPr>
              <w:pStyle w:val="Compact"/>
              <w:jc w:val="center"/>
            </w:pPr>
            <w:r>
              <w:t xml:space="preserve">0.06</w:t>
            </w:r>
          </w:p>
        </w:tc>
      </w:tr>
      <w:tr>
        <w:tc>
          <w:tcPr/>
          <w:p>
            <w:pPr>
              <w:pStyle w:val="Compact"/>
              <w:jc w:val="left"/>
            </w:pPr>
            <w:r>
              <w:t xml:space="preserve">Stiffness</w:t>
            </w:r>
          </w:p>
        </w:tc>
        <w:tc>
          <w:tcPr/>
          <w:p>
            <w:pPr>
              <w:pStyle w:val="Compact"/>
              <w:jc w:val="center"/>
            </w:pPr>
            <w:r>
              <w:t xml:space="preserve">41370.19 ± 10112.16</w:t>
            </w:r>
          </w:p>
        </w:tc>
        <w:tc>
          <w:tcPr/>
          <w:p>
            <w:pPr>
              <w:pStyle w:val="Compact"/>
              <w:jc w:val="center"/>
            </w:pPr>
            <w:r>
              <w:t xml:space="preserve">47636.71 ± 14965.17</w:t>
            </w:r>
          </w:p>
        </w:tc>
        <w:tc>
          <w:tcPr/>
          <w:p>
            <w:pPr>
              <w:pStyle w:val="Compact"/>
              <w:jc w:val="center"/>
            </w:pPr>
            <w:r>
              <w:t xml:space="preserve">-13.2%</w:t>
            </w:r>
          </w:p>
        </w:tc>
        <w:tc>
          <w:tcPr/>
          <w:p>
            <w:pPr>
              <w:pStyle w:val="Compact"/>
              <w:jc w:val="center"/>
            </w:pPr>
            <w:r>
              <w:rPr>
                <w:b/>
                <w:bCs/>
              </w:rPr>
              <w:t xml:space="preserve">0.023</w:t>
            </w:r>
          </w:p>
        </w:tc>
        <w:tc>
          <w:tcPr/>
          <w:p>
            <w:pPr>
              <w:pStyle w:val="Compact"/>
              <w:jc w:val="center"/>
            </w:pPr>
            <w:r>
              <w:t xml:space="preserve">0.49</w:t>
            </w:r>
          </w:p>
        </w:tc>
      </w:tr>
      <w:tr>
        <w:tc>
          <w:tcPr/>
          <w:p>
            <w:pPr>
              <w:pStyle w:val="Compact"/>
              <w:jc w:val="left"/>
            </w:pPr>
            <w:r>
              <w:t xml:space="preserve">F.Load</w:t>
            </w:r>
          </w:p>
        </w:tc>
        <w:tc>
          <w:tcPr/>
          <w:p>
            <w:pPr>
              <w:pStyle w:val="Compact"/>
              <w:jc w:val="center"/>
            </w:pPr>
            <w:r>
              <w:t xml:space="preserve">-2182.59 ± 571.54</w:t>
            </w:r>
          </w:p>
        </w:tc>
        <w:tc>
          <w:tcPr/>
          <w:p>
            <w:pPr>
              <w:pStyle w:val="Compact"/>
              <w:jc w:val="center"/>
            </w:pPr>
            <w:r>
              <w:t xml:space="preserve">-2526.78 ± 841.75</w:t>
            </w:r>
          </w:p>
        </w:tc>
        <w:tc>
          <w:tcPr/>
          <w:p>
            <w:pPr>
              <w:pStyle w:val="Compact"/>
              <w:jc w:val="center"/>
            </w:pPr>
            <w:r>
              <w:t xml:space="preserve">-13.6%</w:t>
            </w:r>
          </w:p>
        </w:tc>
        <w:tc>
          <w:tcPr/>
          <w:p>
            <w:pPr>
              <w:pStyle w:val="Compact"/>
              <w:jc w:val="center"/>
            </w:pPr>
            <w:r>
              <w:rPr>
                <w:b/>
                <w:bCs/>
              </w:rPr>
              <w:t xml:space="preserve">0.026</w:t>
            </w:r>
          </w:p>
        </w:tc>
        <w:tc>
          <w:tcPr/>
          <w:p>
            <w:pPr>
              <w:pStyle w:val="Compact"/>
              <w:jc w:val="center"/>
            </w:pPr>
            <w:r>
              <w:t xml:space="preserve">0.48</w:t>
            </w:r>
          </w:p>
        </w:tc>
      </w:tr>
      <w:tr>
        <w:tc>
          <w:tcPr/>
          <w:p>
            <w:pPr>
              <w:pStyle w:val="Compact"/>
              <w:jc w:val="left"/>
            </w:pPr>
            <w:r>
              <w:rPr>
                <w:b/>
                <w:bCs/>
              </w:rPr>
              <w:t xml:space="preserve">Distal Tibia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TT.AR</w:t>
            </w:r>
          </w:p>
        </w:tc>
        <w:tc>
          <w:tcPr/>
          <w:p>
            <w:pPr>
              <w:pStyle w:val="Compact"/>
              <w:jc w:val="center"/>
            </w:pPr>
            <w:r>
              <w:t xml:space="preserve">531.21 ± 88.06</w:t>
            </w:r>
          </w:p>
        </w:tc>
        <w:tc>
          <w:tcPr/>
          <w:p>
            <w:pPr>
              <w:pStyle w:val="Compact"/>
              <w:jc w:val="center"/>
            </w:pPr>
            <w:r>
              <w:t xml:space="preserve">514.35 ± 82.43</w:t>
            </w:r>
          </w:p>
        </w:tc>
        <w:tc>
          <w:tcPr/>
          <w:p>
            <w:pPr>
              <w:pStyle w:val="Compact"/>
              <w:jc w:val="center"/>
            </w:pPr>
            <w:r>
              <w:t xml:space="preserve">3.3%</w:t>
            </w:r>
          </w:p>
        </w:tc>
        <w:tc>
          <w:tcPr/>
          <w:p>
            <w:pPr>
              <w:pStyle w:val="Compact"/>
              <w:jc w:val="center"/>
            </w:pPr>
            <w:r>
              <w:t xml:space="preserve">0.348</w:t>
            </w:r>
          </w:p>
        </w:tc>
        <w:tc>
          <w:tcPr/>
          <w:p>
            <w:pPr>
              <w:pStyle w:val="Compact"/>
              <w:jc w:val="center"/>
            </w:pPr>
            <w:r>
              <w:t xml:space="preserve">0.20</w:t>
            </w:r>
          </w:p>
        </w:tc>
      </w:tr>
      <w:tr>
        <w:tc>
          <w:tcPr/>
          <w:p>
            <w:pPr>
              <w:pStyle w:val="Compact"/>
              <w:jc w:val="left"/>
            </w:pPr>
            <w:r>
              <w:t xml:space="preserve">CT.PM</w:t>
            </w:r>
          </w:p>
        </w:tc>
        <w:tc>
          <w:tcPr/>
          <w:p>
            <w:pPr>
              <w:pStyle w:val="Compact"/>
              <w:jc w:val="center"/>
            </w:pPr>
            <w:r>
              <w:t xml:space="preserve">89.43 ± 8.00</w:t>
            </w:r>
          </w:p>
        </w:tc>
        <w:tc>
          <w:tcPr/>
          <w:p>
            <w:pPr>
              <w:pStyle w:val="Compact"/>
              <w:jc w:val="center"/>
            </w:pPr>
            <w:r>
              <w:t xml:space="preserve">88.13 ± 7.25</w:t>
            </w:r>
          </w:p>
        </w:tc>
        <w:tc>
          <w:tcPr/>
          <w:p>
            <w:pPr>
              <w:pStyle w:val="Compact"/>
              <w:jc w:val="center"/>
            </w:pPr>
            <w:r>
              <w:t xml:space="preserve">1.5%</w:t>
            </w:r>
          </w:p>
        </w:tc>
        <w:tc>
          <w:tcPr/>
          <w:p>
            <w:pPr>
              <w:pStyle w:val="Compact"/>
              <w:jc w:val="center"/>
            </w:pPr>
            <w:r>
              <w:t xml:space="preserve">0.421</w:t>
            </w:r>
          </w:p>
        </w:tc>
        <w:tc>
          <w:tcPr/>
          <w:p>
            <w:pPr>
              <w:pStyle w:val="Compact"/>
              <w:jc w:val="center"/>
            </w:pPr>
            <w:r>
              <w:t xml:space="preserve">0.17</w:t>
            </w:r>
          </w:p>
        </w:tc>
      </w:tr>
      <w:tr>
        <w:tc>
          <w:tcPr/>
          <w:p>
            <w:pPr>
              <w:pStyle w:val="Compact"/>
              <w:jc w:val="left"/>
            </w:pPr>
            <w:r>
              <w:t xml:space="preserve">CT.AR</w:t>
            </w:r>
          </w:p>
        </w:tc>
        <w:tc>
          <w:tcPr/>
          <w:p>
            <w:pPr>
              <w:pStyle w:val="Compact"/>
              <w:jc w:val="center"/>
            </w:pPr>
            <w:r>
              <w:t xml:space="preserve">106.06 ± 17.95</w:t>
            </w:r>
          </w:p>
        </w:tc>
        <w:tc>
          <w:tcPr/>
          <w:p>
            <w:pPr>
              <w:pStyle w:val="Compact"/>
              <w:jc w:val="center"/>
            </w:pPr>
            <w:r>
              <w:t xml:space="preserve">109.35 ± 17.56</w:t>
            </w:r>
          </w:p>
        </w:tc>
        <w:tc>
          <w:tcPr/>
          <w:p>
            <w:pPr>
              <w:pStyle w:val="Compact"/>
              <w:jc w:val="center"/>
            </w:pPr>
            <w:r>
              <w:t xml:space="preserve">-3.0%</w:t>
            </w:r>
          </w:p>
        </w:tc>
        <w:tc>
          <w:tcPr/>
          <w:p>
            <w:pPr>
              <w:pStyle w:val="Compact"/>
              <w:jc w:val="center"/>
            </w:pPr>
            <w:r>
              <w:t xml:space="preserve">0.379</w:t>
            </w:r>
          </w:p>
        </w:tc>
        <w:tc>
          <w:tcPr/>
          <w:p>
            <w:pPr>
              <w:pStyle w:val="Compact"/>
              <w:jc w:val="center"/>
            </w:pPr>
            <w:r>
              <w:t xml:space="preserve">0.19</w:t>
            </w:r>
          </w:p>
        </w:tc>
      </w:tr>
      <w:tr>
        <w:tc>
          <w:tcPr/>
          <w:p>
            <w:pPr>
              <w:pStyle w:val="Compact"/>
              <w:jc w:val="left"/>
            </w:pPr>
            <w:r>
              <w:t xml:space="preserve">TB.AR</w:t>
            </w:r>
          </w:p>
        </w:tc>
        <w:tc>
          <w:tcPr/>
          <w:p>
            <w:pPr>
              <w:pStyle w:val="Compact"/>
              <w:jc w:val="center"/>
            </w:pPr>
            <w:r>
              <w:t xml:space="preserve">429.41 ± 89.08</w:t>
            </w:r>
          </w:p>
        </w:tc>
        <w:tc>
          <w:tcPr/>
          <w:p>
            <w:pPr>
              <w:pStyle w:val="Compact"/>
              <w:jc w:val="center"/>
            </w:pPr>
            <w:r>
              <w:t xml:space="preserve">409.95 ± 77.20</w:t>
            </w:r>
          </w:p>
        </w:tc>
        <w:tc>
          <w:tcPr/>
          <w:p>
            <w:pPr>
              <w:pStyle w:val="Compact"/>
              <w:jc w:val="center"/>
            </w:pPr>
            <w:r>
              <w:t xml:space="preserve">4.7%</w:t>
            </w:r>
          </w:p>
        </w:tc>
        <w:tc>
          <w:tcPr/>
          <w:p>
            <w:pPr>
              <w:pStyle w:val="Compact"/>
              <w:jc w:val="center"/>
            </w:pPr>
            <w:r>
              <w:t xml:space="preserve">0.268</w:t>
            </w:r>
          </w:p>
        </w:tc>
        <w:tc>
          <w:tcPr/>
          <w:p>
            <w:pPr>
              <w:pStyle w:val="Compact"/>
              <w:jc w:val="center"/>
            </w:pPr>
            <w:r>
              <w:t xml:space="preserve">0.23</w:t>
            </w:r>
          </w:p>
        </w:tc>
      </w:tr>
      <w:tr>
        <w:tc>
          <w:tcPr/>
          <w:p>
            <w:pPr>
              <w:pStyle w:val="Compact"/>
              <w:jc w:val="left"/>
            </w:pPr>
            <w:r>
              <w:t xml:space="preserve">TB.META.AR</w:t>
            </w:r>
          </w:p>
        </w:tc>
        <w:tc>
          <w:tcPr/>
          <w:p>
            <w:pPr>
              <w:pStyle w:val="Compact"/>
              <w:jc w:val="center"/>
            </w:pPr>
            <w:r>
              <w:t xml:space="preserve">173.41 ± 35.80</w:t>
            </w:r>
          </w:p>
        </w:tc>
        <w:tc>
          <w:tcPr/>
          <w:p>
            <w:pPr>
              <w:pStyle w:val="Compact"/>
              <w:jc w:val="center"/>
            </w:pPr>
            <w:r>
              <w:t xml:space="preserve">165.61 ± 31.04</w:t>
            </w:r>
          </w:p>
        </w:tc>
        <w:tc>
          <w:tcPr/>
          <w:p>
            <w:pPr>
              <w:pStyle w:val="Compact"/>
              <w:jc w:val="center"/>
            </w:pPr>
            <w:r>
              <w:t xml:space="preserve">4.7%</w:t>
            </w:r>
          </w:p>
        </w:tc>
        <w:tc>
          <w:tcPr/>
          <w:p>
            <w:pPr>
              <w:pStyle w:val="Compact"/>
              <w:jc w:val="center"/>
            </w:pPr>
            <w:r>
              <w:t xml:space="preserve">0.268</w:t>
            </w:r>
          </w:p>
        </w:tc>
        <w:tc>
          <w:tcPr/>
          <w:p>
            <w:pPr>
              <w:pStyle w:val="Compact"/>
              <w:jc w:val="center"/>
            </w:pPr>
            <w:r>
              <w:t xml:space="preserve">0.23</w:t>
            </w:r>
          </w:p>
        </w:tc>
      </w:tr>
      <w:tr>
        <w:tc>
          <w:tcPr/>
          <w:p>
            <w:pPr>
              <w:pStyle w:val="Compact"/>
              <w:jc w:val="left"/>
            </w:pPr>
            <w:r>
              <w:t xml:space="preserve">TB.INN.AR</w:t>
            </w:r>
          </w:p>
        </w:tc>
        <w:tc>
          <w:tcPr/>
          <w:p>
            <w:pPr>
              <w:pStyle w:val="Compact"/>
              <w:jc w:val="center"/>
            </w:pPr>
            <w:r>
              <w:t xml:space="preserve">256.01 ± 53.29</w:t>
            </w:r>
          </w:p>
        </w:tc>
        <w:tc>
          <w:tcPr/>
          <w:p>
            <w:pPr>
              <w:pStyle w:val="Compact"/>
              <w:jc w:val="center"/>
            </w:pPr>
            <w:r>
              <w:t xml:space="preserve">244.62 ± 46.14</w:t>
            </w:r>
          </w:p>
        </w:tc>
        <w:tc>
          <w:tcPr/>
          <w:p>
            <w:pPr>
              <w:pStyle w:val="Compact"/>
              <w:jc w:val="center"/>
            </w:pPr>
            <w:r>
              <w:t xml:space="preserve">4.7%</w:t>
            </w:r>
          </w:p>
        </w:tc>
        <w:tc>
          <w:tcPr/>
          <w:p>
            <w:pPr>
              <w:pStyle w:val="Compact"/>
              <w:jc w:val="center"/>
            </w:pPr>
            <w:r>
              <w:t xml:space="preserve">0.278</w:t>
            </w:r>
          </w:p>
        </w:tc>
        <w:tc>
          <w:tcPr/>
          <w:p>
            <w:pPr>
              <w:pStyle w:val="Compact"/>
              <w:jc w:val="center"/>
            </w:pPr>
            <w:r>
              <w:t xml:space="preserve">0.23</w:t>
            </w:r>
          </w:p>
        </w:tc>
      </w:tr>
      <w:tr>
        <w:tc>
          <w:tcPr/>
          <w:p>
            <w:pPr>
              <w:pStyle w:val="Compact"/>
              <w:jc w:val="left"/>
            </w:pPr>
            <w:r>
              <w:t xml:space="preserve">ttvBMD</w:t>
            </w:r>
          </w:p>
        </w:tc>
        <w:tc>
          <w:tcPr/>
          <w:p>
            <w:pPr>
              <w:pStyle w:val="Compact"/>
              <w:jc w:val="center"/>
            </w:pPr>
            <w:r>
              <w:t xml:space="preserve">263.50 ± 47.30</w:t>
            </w:r>
          </w:p>
        </w:tc>
        <w:tc>
          <w:tcPr/>
          <w:p>
            <w:pPr>
              <w:pStyle w:val="Compact"/>
              <w:jc w:val="center"/>
            </w:pPr>
            <w:r>
              <w:t xml:space="preserve">283.60 ± 49.58</w:t>
            </w:r>
          </w:p>
        </w:tc>
        <w:tc>
          <w:tcPr/>
          <w:p>
            <w:pPr>
              <w:pStyle w:val="Compact"/>
              <w:jc w:val="center"/>
            </w:pPr>
            <w:r>
              <w:t xml:space="preserve">-7.1%</w:t>
            </w:r>
          </w:p>
        </w:tc>
        <w:tc>
          <w:tcPr/>
          <w:p>
            <w:pPr>
              <w:pStyle w:val="Compact"/>
              <w:jc w:val="center"/>
            </w:pPr>
            <w:r>
              <w:t xml:space="preserve">0.051</w:t>
            </w:r>
          </w:p>
        </w:tc>
        <w:tc>
          <w:tcPr/>
          <w:p>
            <w:pPr>
              <w:pStyle w:val="Compact"/>
              <w:jc w:val="center"/>
            </w:pPr>
            <w:r>
              <w:t xml:space="preserve">0.42</w:t>
            </w:r>
          </w:p>
        </w:tc>
      </w:tr>
      <w:tr>
        <w:tc>
          <w:tcPr/>
          <w:p>
            <w:pPr>
              <w:pStyle w:val="Compact"/>
              <w:jc w:val="left"/>
            </w:pPr>
            <w:r>
              <w:t xml:space="preserve">tbvBMD</w:t>
            </w:r>
          </w:p>
        </w:tc>
        <w:tc>
          <w:tcPr/>
          <w:p>
            <w:pPr>
              <w:pStyle w:val="Compact"/>
              <w:jc w:val="center"/>
            </w:pPr>
            <w:r>
              <w:t xml:space="preserve">101.98 ± 26.21</w:t>
            </w:r>
          </w:p>
        </w:tc>
        <w:tc>
          <w:tcPr/>
          <w:p>
            <w:pPr>
              <w:pStyle w:val="Compact"/>
              <w:jc w:val="center"/>
            </w:pPr>
            <w:r>
              <w:t xml:space="preserve">113.45 ± 33.08</w:t>
            </w:r>
          </w:p>
        </w:tc>
        <w:tc>
          <w:tcPr/>
          <w:p>
            <w:pPr>
              <w:pStyle w:val="Compact"/>
              <w:jc w:val="center"/>
            </w:pPr>
            <w:r>
              <w:t xml:space="preserve">-10.1%</w:t>
            </w:r>
          </w:p>
        </w:tc>
        <w:tc>
          <w:tcPr/>
          <w:p>
            <w:pPr>
              <w:pStyle w:val="Compact"/>
              <w:jc w:val="center"/>
            </w:pPr>
            <w:r>
              <w:t xml:space="preserve">0.071</w:t>
            </w:r>
          </w:p>
        </w:tc>
        <w:tc>
          <w:tcPr/>
          <w:p>
            <w:pPr>
              <w:pStyle w:val="Compact"/>
              <w:jc w:val="center"/>
            </w:pPr>
            <w:r>
              <w:t xml:space="preserve">0.39</w:t>
            </w:r>
          </w:p>
        </w:tc>
      </w:tr>
      <w:tr>
        <w:tc>
          <w:tcPr/>
          <w:p>
            <w:pPr>
              <w:pStyle w:val="Compact"/>
              <w:jc w:val="left"/>
            </w:pPr>
            <w:r>
              <w:t xml:space="preserve">TbMeta.v.BMD</w:t>
            </w:r>
          </w:p>
        </w:tc>
        <w:tc>
          <w:tcPr/>
          <w:p>
            <w:pPr>
              <w:pStyle w:val="Compact"/>
              <w:jc w:val="center"/>
            </w:pPr>
            <w:r>
              <w:t xml:space="preserve">178.57 ± 30.85</w:t>
            </w:r>
          </w:p>
        </w:tc>
        <w:tc>
          <w:tcPr/>
          <w:p>
            <w:pPr>
              <w:pStyle w:val="Compact"/>
              <w:jc w:val="center"/>
            </w:pPr>
            <w:r>
              <w:t xml:space="preserve">189.44 ± 37.95</w:t>
            </w:r>
          </w:p>
        </w:tc>
        <w:tc>
          <w:tcPr/>
          <w:p>
            <w:pPr>
              <w:pStyle w:val="Compact"/>
              <w:jc w:val="center"/>
            </w:pPr>
            <w:r>
              <w:t xml:space="preserve">-5.7%</w:t>
            </w:r>
          </w:p>
        </w:tc>
        <w:tc>
          <w:tcPr/>
          <w:p>
            <w:pPr>
              <w:pStyle w:val="Compact"/>
              <w:jc w:val="center"/>
            </w:pPr>
            <w:r>
              <w:t xml:space="preserve">0.139</w:t>
            </w:r>
          </w:p>
        </w:tc>
        <w:tc>
          <w:tcPr/>
          <w:p>
            <w:pPr>
              <w:pStyle w:val="Compact"/>
              <w:jc w:val="center"/>
            </w:pPr>
            <w:r>
              <w:t xml:space="preserve">0.32</w:t>
            </w:r>
          </w:p>
        </w:tc>
      </w:tr>
      <w:tr>
        <w:tc>
          <w:tcPr/>
          <w:p>
            <w:pPr>
              <w:pStyle w:val="Compact"/>
              <w:jc w:val="left"/>
            </w:pPr>
            <w:r>
              <w:t xml:space="preserve">Tb.inn.BMD</w:t>
            </w:r>
          </w:p>
        </w:tc>
        <w:tc>
          <w:tcPr/>
          <w:p>
            <w:pPr>
              <w:pStyle w:val="Compact"/>
              <w:jc w:val="center"/>
            </w:pPr>
            <w:r>
              <w:t xml:space="preserve">50.03 ± 27.80</w:t>
            </w:r>
          </w:p>
        </w:tc>
        <w:tc>
          <w:tcPr/>
          <w:p>
            <w:pPr>
              <w:pStyle w:val="Compact"/>
              <w:jc w:val="center"/>
            </w:pPr>
            <w:r>
              <w:t xml:space="preserve">61.93 ± 32.05</w:t>
            </w:r>
          </w:p>
        </w:tc>
        <w:tc>
          <w:tcPr/>
          <w:p>
            <w:pPr>
              <w:pStyle w:val="Compact"/>
              <w:jc w:val="center"/>
            </w:pPr>
            <w:r>
              <w:t xml:space="preserve">-19.2%</w:t>
            </w:r>
          </w:p>
        </w:tc>
        <w:tc>
          <w:tcPr/>
          <w:p>
            <w:pPr>
              <w:pStyle w:val="Compact"/>
              <w:jc w:val="center"/>
            </w:pPr>
            <w:r>
              <w:t xml:space="preserve">0.062</w:t>
            </w:r>
          </w:p>
        </w:tc>
        <w:tc>
          <w:tcPr/>
          <w:p>
            <w:pPr>
              <w:pStyle w:val="Compact"/>
              <w:jc w:val="center"/>
            </w:pPr>
            <w:r>
              <w:t xml:space="preserve">0.40</w:t>
            </w:r>
          </w:p>
        </w:tc>
      </w:tr>
      <w:tr>
        <w:tc>
          <w:tcPr/>
          <w:p>
            <w:pPr>
              <w:pStyle w:val="Compact"/>
              <w:jc w:val="left"/>
            </w:pPr>
            <w:r>
              <w:t xml:space="preserve">CTvBMD</w:t>
            </w:r>
          </w:p>
        </w:tc>
        <w:tc>
          <w:tcPr/>
          <w:p>
            <w:pPr>
              <w:pStyle w:val="Compact"/>
              <w:jc w:val="center"/>
            </w:pPr>
            <w:r>
              <w:t xml:space="preserve">899.52 ± 60.19</w:t>
            </w:r>
          </w:p>
        </w:tc>
        <w:tc>
          <w:tcPr/>
          <w:p>
            <w:pPr>
              <w:pStyle w:val="Compact"/>
              <w:jc w:val="center"/>
            </w:pPr>
            <w:r>
              <w:t xml:space="preserve">918.57 ± 58.71</w:t>
            </w:r>
          </w:p>
        </w:tc>
        <w:tc>
          <w:tcPr/>
          <w:p>
            <w:pPr>
              <w:pStyle w:val="Compact"/>
              <w:jc w:val="center"/>
            </w:pPr>
            <w:r>
              <w:t xml:space="preserve">-2.1%</w:t>
            </w:r>
          </w:p>
        </w:tc>
        <w:tc>
          <w:tcPr/>
          <w:p>
            <w:pPr>
              <w:pStyle w:val="Compact"/>
              <w:jc w:val="center"/>
            </w:pPr>
            <w:r>
              <w:t xml:space="preserve">0.130</w:t>
            </w:r>
          </w:p>
        </w:tc>
        <w:tc>
          <w:tcPr/>
          <w:p>
            <w:pPr>
              <w:pStyle w:val="Compact"/>
              <w:jc w:val="center"/>
            </w:pPr>
            <w:r>
              <w:t xml:space="preserve">0.32</w:t>
            </w:r>
          </w:p>
        </w:tc>
      </w:tr>
      <w:tr>
        <w:tc>
          <w:tcPr/>
          <w:p>
            <w:pPr>
              <w:pStyle w:val="Compact"/>
              <w:jc w:val="left"/>
            </w:pPr>
            <w:r>
              <w:t xml:space="preserve">BV/TV</w:t>
            </w:r>
          </w:p>
        </w:tc>
        <w:tc>
          <w:tcPr/>
          <w:p>
            <w:pPr>
              <w:pStyle w:val="Compact"/>
              <w:jc w:val="center"/>
            </w:pPr>
            <w:r>
              <w:t xml:space="preserve">0.17 ± 0.07</w:t>
            </w:r>
          </w:p>
        </w:tc>
        <w:tc>
          <w:tcPr/>
          <w:p>
            <w:pPr>
              <w:pStyle w:val="Compact"/>
              <w:jc w:val="center"/>
            </w:pPr>
            <w:r>
              <w:t xml:space="preserve">0.17 ± 0.04</w:t>
            </w:r>
          </w:p>
        </w:tc>
        <w:tc>
          <w:tcPr/>
          <w:p>
            <w:pPr>
              <w:pStyle w:val="Compact"/>
              <w:jc w:val="center"/>
            </w:pPr>
            <w:r>
              <w:t xml:space="preserve">-0.4%</w:t>
            </w:r>
          </w:p>
        </w:tc>
        <w:tc>
          <w:tcPr/>
          <w:p>
            <w:pPr>
              <w:pStyle w:val="Compact"/>
              <w:jc w:val="center"/>
            </w:pPr>
            <w:r>
              <w:t xml:space="preserve">0.956</w:t>
            </w:r>
          </w:p>
        </w:tc>
        <w:tc>
          <w:tcPr/>
          <w:p>
            <w:pPr>
              <w:pStyle w:val="Compact"/>
              <w:jc w:val="center"/>
            </w:pPr>
            <w:r>
              <w:t xml:space="preserve">0.01</w:t>
            </w:r>
          </w:p>
        </w:tc>
      </w:tr>
      <w:tr>
        <w:tc>
          <w:tcPr/>
          <w:p>
            <w:pPr>
              <w:pStyle w:val="Compact"/>
              <w:jc w:val="left"/>
            </w:pPr>
            <w:r>
              <w:t xml:space="preserve">TB.N</w:t>
            </w:r>
          </w:p>
        </w:tc>
        <w:tc>
          <w:tcPr/>
          <w:p>
            <w:pPr>
              <w:pStyle w:val="Compact"/>
              <w:jc w:val="center"/>
            </w:pPr>
            <w:r>
              <w:t xml:space="preserve">0.88 ± 0.21</w:t>
            </w:r>
          </w:p>
        </w:tc>
        <w:tc>
          <w:tcPr/>
          <w:p>
            <w:pPr>
              <w:pStyle w:val="Compact"/>
              <w:jc w:val="center"/>
            </w:pPr>
            <w:r>
              <w:t xml:space="preserve">0.98 ± 0.15</w:t>
            </w:r>
          </w:p>
        </w:tc>
        <w:tc>
          <w:tcPr/>
          <w:p>
            <w:pPr>
              <w:pStyle w:val="Compact"/>
              <w:jc w:val="center"/>
            </w:pPr>
            <w:r>
              <w:t xml:space="preserve">-9.6%</w:t>
            </w:r>
          </w:p>
        </w:tc>
        <w:tc>
          <w:tcPr/>
          <w:p>
            <w:pPr>
              <w:pStyle w:val="Compact"/>
              <w:jc w:val="center"/>
            </w:pPr>
            <w:r>
              <w:rPr>
                <w:b/>
                <w:bCs/>
              </w:rPr>
              <w:t xml:space="preserve">0.017</w:t>
            </w:r>
          </w:p>
        </w:tc>
        <w:tc>
          <w:tcPr/>
          <w:p>
            <w:pPr>
              <w:pStyle w:val="Compact"/>
              <w:jc w:val="center"/>
            </w:pPr>
            <w:r>
              <w:t xml:space="preserve">0.51</w:t>
            </w:r>
          </w:p>
        </w:tc>
      </w:tr>
      <w:tr>
        <w:tc>
          <w:tcPr/>
          <w:p>
            <w:pPr>
              <w:pStyle w:val="Compact"/>
              <w:jc w:val="left"/>
            </w:pPr>
            <w:r>
              <w:t xml:space="preserve">TB.TH</w:t>
            </w:r>
          </w:p>
        </w:tc>
        <w:tc>
          <w:tcPr/>
          <w:p>
            <w:pPr>
              <w:pStyle w:val="Compact"/>
              <w:jc w:val="center"/>
            </w:pPr>
            <w:r>
              <w:t xml:space="preserve">0.25 ± 0.03</w:t>
            </w:r>
          </w:p>
        </w:tc>
        <w:tc>
          <w:tcPr/>
          <w:p>
            <w:pPr>
              <w:pStyle w:val="Compact"/>
              <w:jc w:val="center"/>
            </w:pPr>
            <w:r>
              <w:t xml:space="preserve">0.25 ± 0.02</w:t>
            </w:r>
          </w:p>
        </w:tc>
        <w:tc>
          <w:tcPr/>
          <w:p>
            <w:pPr>
              <w:pStyle w:val="Compact"/>
              <w:jc w:val="center"/>
            </w:pPr>
            <w:r>
              <w:t xml:space="preserve">1.6%</w:t>
            </w:r>
          </w:p>
        </w:tc>
        <w:tc>
          <w:tcPr/>
          <w:p>
            <w:pPr>
              <w:pStyle w:val="Compact"/>
              <w:jc w:val="center"/>
            </w:pPr>
            <w:r>
              <w:t xml:space="preserve">0.404</w:t>
            </w:r>
          </w:p>
        </w:tc>
        <w:tc>
          <w:tcPr/>
          <w:p>
            <w:pPr>
              <w:pStyle w:val="Compact"/>
              <w:jc w:val="center"/>
            </w:pPr>
            <w:r>
              <w:t xml:space="preserve">0.17</w:t>
            </w:r>
          </w:p>
        </w:tc>
      </w:tr>
      <w:tr>
        <w:tc>
          <w:tcPr/>
          <w:p>
            <w:pPr>
              <w:pStyle w:val="Compact"/>
              <w:jc w:val="left"/>
            </w:pPr>
            <w:r>
              <w:t xml:space="preserve">TB.SP</w:t>
            </w:r>
          </w:p>
        </w:tc>
        <w:tc>
          <w:tcPr/>
          <w:p>
            <w:pPr>
              <w:pStyle w:val="Compact"/>
              <w:jc w:val="center"/>
            </w:pPr>
            <w:r>
              <w:t xml:space="preserve">1.21 ± 0.42</w:t>
            </w:r>
          </w:p>
        </w:tc>
        <w:tc>
          <w:tcPr/>
          <w:p>
            <w:pPr>
              <w:pStyle w:val="Compact"/>
              <w:jc w:val="center"/>
            </w:pPr>
            <w:r>
              <w:t xml:space="preserve">1.03 ± 0.18</w:t>
            </w:r>
          </w:p>
        </w:tc>
        <w:tc>
          <w:tcPr/>
          <w:p>
            <w:pPr>
              <w:pStyle w:val="Compact"/>
              <w:jc w:val="center"/>
            </w:pPr>
            <w:r>
              <w:t xml:space="preserve">17.8%</w:t>
            </w:r>
          </w:p>
        </w:tc>
        <w:tc>
          <w:tcPr/>
          <w:p>
            <w:pPr>
              <w:pStyle w:val="Compact"/>
              <w:jc w:val="center"/>
            </w:pPr>
            <w:r>
              <w:rPr>
                <w:b/>
                <w:bCs/>
              </w:rPr>
              <w:t xml:space="preserve">0.008</w:t>
            </w:r>
          </w:p>
        </w:tc>
        <w:tc>
          <w:tcPr/>
          <w:p>
            <w:pPr>
              <w:pStyle w:val="Compact"/>
              <w:jc w:val="center"/>
            </w:pPr>
            <w:r>
              <w:t xml:space="preserve">0.56</w:t>
            </w:r>
          </w:p>
        </w:tc>
      </w:tr>
      <w:tr>
        <w:tc>
          <w:tcPr/>
          <w:p>
            <w:pPr>
              <w:pStyle w:val="Compact"/>
              <w:jc w:val="left"/>
            </w:pPr>
            <w:r>
              <w:t xml:space="preserve">TB.1/N.SD</w:t>
            </w:r>
          </w:p>
        </w:tc>
        <w:tc>
          <w:tcPr/>
          <w:p>
            <w:pPr>
              <w:pStyle w:val="Compact"/>
              <w:jc w:val="center"/>
            </w:pPr>
            <w:r>
              <w:t xml:space="preserve">0.65 ± 0.45</w:t>
            </w:r>
          </w:p>
        </w:tc>
        <w:tc>
          <w:tcPr/>
          <w:p>
            <w:pPr>
              <w:pStyle w:val="Compact"/>
              <w:jc w:val="center"/>
            </w:pPr>
            <w:r>
              <w:t xml:space="preserve">0.46 ± 0.19</w:t>
            </w:r>
          </w:p>
        </w:tc>
        <w:tc>
          <w:tcPr/>
          <w:p>
            <w:pPr>
              <w:pStyle w:val="Compact"/>
              <w:jc w:val="center"/>
            </w:pPr>
            <w:r>
              <w:t xml:space="preserve">40.7%</w:t>
            </w:r>
          </w:p>
        </w:tc>
        <w:tc>
          <w:tcPr/>
          <w:p>
            <w:pPr>
              <w:pStyle w:val="Compact"/>
              <w:jc w:val="center"/>
            </w:pPr>
            <w:r>
              <w:rPr>
                <w:b/>
                <w:bCs/>
              </w:rPr>
              <w:t xml:space="preserve">0.012</w:t>
            </w:r>
          </w:p>
        </w:tc>
        <w:tc>
          <w:tcPr/>
          <w:p>
            <w:pPr>
              <w:pStyle w:val="Compact"/>
              <w:jc w:val="center"/>
            </w:pPr>
            <w:r>
              <w:t xml:space="preserve">0.53</w:t>
            </w:r>
          </w:p>
        </w:tc>
      </w:tr>
      <w:tr>
        <w:tc>
          <w:tcPr/>
          <w:p>
            <w:pPr>
              <w:pStyle w:val="Compact"/>
              <w:jc w:val="left"/>
            </w:pPr>
            <w:r>
              <w:t xml:space="preserve">CT.TH</w:t>
            </w:r>
          </w:p>
        </w:tc>
        <w:tc>
          <w:tcPr/>
          <w:p>
            <w:pPr>
              <w:pStyle w:val="Compact"/>
              <w:jc w:val="center"/>
            </w:pPr>
            <w:r>
              <w:t xml:space="preserve">1.40 ± 0.25</w:t>
            </w:r>
          </w:p>
        </w:tc>
        <w:tc>
          <w:tcPr/>
          <w:p>
            <w:pPr>
              <w:pStyle w:val="Compact"/>
              <w:jc w:val="center"/>
            </w:pPr>
            <w:r>
              <w:t xml:space="preserve">1.45 ± 0.22</w:t>
            </w:r>
          </w:p>
        </w:tc>
        <w:tc>
          <w:tcPr/>
          <w:p>
            <w:pPr>
              <w:pStyle w:val="Compact"/>
              <w:jc w:val="center"/>
            </w:pPr>
            <w:r>
              <w:t xml:space="preserve">-3.5%</w:t>
            </w:r>
          </w:p>
        </w:tc>
        <w:tc>
          <w:tcPr/>
          <w:p>
            <w:pPr>
              <w:pStyle w:val="Compact"/>
              <w:jc w:val="center"/>
            </w:pPr>
            <w:r>
              <w:t xml:space="preserve">0.304</w:t>
            </w:r>
          </w:p>
        </w:tc>
        <w:tc>
          <w:tcPr/>
          <w:p>
            <w:pPr>
              <w:pStyle w:val="Compact"/>
              <w:jc w:val="center"/>
            </w:pPr>
            <w:r>
              <w:t xml:space="preserve">0.22</w:t>
            </w:r>
          </w:p>
        </w:tc>
      </w:tr>
      <w:tr>
        <w:tc>
          <w:tcPr/>
          <w:p>
            <w:pPr>
              <w:pStyle w:val="Compact"/>
              <w:jc w:val="left"/>
            </w:pPr>
            <w:r>
              <w:t xml:space="preserve">CT.PO</w:t>
            </w:r>
          </w:p>
        </w:tc>
        <w:tc>
          <w:tcPr/>
          <w:p>
            <w:pPr>
              <w:pStyle w:val="Compact"/>
              <w:jc w:val="center"/>
            </w:pPr>
            <w:r>
              <w:t xml:space="preserve">0.02 ± 0.02</w:t>
            </w:r>
          </w:p>
        </w:tc>
        <w:tc>
          <w:tcPr/>
          <w:p>
            <w:pPr>
              <w:pStyle w:val="Compact"/>
              <w:jc w:val="center"/>
            </w:pPr>
            <w:r>
              <w:t xml:space="preserve">0.03 ± 0.05</w:t>
            </w:r>
          </w:p>
        </w:tc>
        <w:tc>
          <w:tcPr/>
          <w:p>
            <w:pPr>
              <w:pStyle w:val="Compact"/>
              <w:jc w:val="center"/>
            </w:pPr>
            <w:r>
              <w:t xml:space="preserve">-23.2%</w:t>
            </w:r>
          </w:p>
        </w:tc>
        <w:tc>
          <w:tcPr/>
          <w:p>
            <w:pPr>
              <w:pStyle w:val="Compact"/>
              <w:jc w:val="center"/>
            </w:pPr>
            <w:r>
              <w:t xml:space="preserve">0.303</w:t>
            </w:r>
          </w:p>
        </w:tc>
        <w:tc>
          <w:tcPr/>
          <w:p>
            <w:pPr>
              <w:pStyle w:val="Compact"/>
              <w:jc w:val="center"/>
            </w:pPr>
            <w:r>
              <w:t xml:space="preserve">0.22</w:t>
            </w:r>
          </w:p>
        </w:tc>
      </w:tr>
      <w:tr>
        <w:tc>
          <w:tcPr/>
          <w:p>
            <w:pPr>
              <w:pStyle w:val="Compact"/>
              <w:jc w:val="left"/>
            </w:pPr>
            <w:r>
              <w:t xml:space="preserve">CT.PO.DM</w:t>
            </w:r>
          </w:p>
        </w:tc>
        <w:tc>
          <w:tcPr/>
          <w:p>
            <w:pPr>
              <w:pStyle w:val="Compact"/>
              <w:jc w:val="center"/>
            </w:pPr>
            <w:r>
              <w:t xml:space="preserve">0.23 ± 0.03</w:t>
            </w:r>
          </w:p>
        </w:tc>
        <w:tc>
          <w:tcPr/>
          <w:p>
            <w:pPr>
              <w:pStyle w:val="Compact"/>
              <w:jc w:val="center"/>
            </w:pPr>
            <w:r>
              <w:t xml:space="preserve">0.24 ± 0.04</w:t>
            </w:r>
          </w:p>
        </w:tc>
        <w:tc>
          <w:tcPr/>
          <w:p>
            <w:pPr>
              <w:pStyle w:val="Compact"/>
              <w:jc w:val="center"/>
            </w:pPr>
            <w:r>
              <w:t xml:space="preserve">-1.5%</w:t>
            </w:r>
          </w:p>
        </w:tc>
        <w:tc>
          <w:tcPr/>
          <w:p>
            <w:pPr>
              <w:pStyle w:val="Compact"/>
              <w:jc w:val="center"/>
            </w:pPr>
            <w:r>
              <w:t xml:space="preserve">0.668</w:t>
            </w:r>
          </w:p>
        </w:tc>
        <w:tc>
          <w:tcPr/>
          <w:p>
            <w:pPr>
              <w:pStyle w:val="Compact"/>
              <w:jc w:val="center"/>
            </w:pPr>
            <w:r>
              <w:t xml:space="preserve">0.09</w:t>
            </w:r>
          </w:p>
        </w:tc>
      </w:tr>
      <w:tr>
        <w:tc>
          <w:tcPr/>
          <w:p>
            <w:pPr>
              <w:pStyle w:val="Compact"/>
              <w:jc w:val="left"/>
            </w:pPr>
            <w:r>
              <w:t xml:space="preserve">Stiffness</w:t>
            </w:r>
          </w:p>
        </w:tc>
        <w:tc>
          <w:tcPr/>
          <w:p>
            <w:pPr>
              <w:pStyle w:val="Compact"/>
              <w:jc w:val="center"/>
            </w:pPr>
            <w:r>
              <w:t xml:space="preserve">130643.32 ± 15509.48</w:t>
            </w:r>
          </w:p>
        </w:tc>
        <w:tc>
          <w:tcPr/>
          <w:p>
            <w:pPr>
              <w:pStyle w:val="Compact"/>
              <w:jc w:val="center"/>
            </w:pPr>
            <w:r>
              <w:t xml:space="preserve">133269.28 ± 24149.55</w:t>
            </w:r>
          </w:p>
        </w:tc>
        <w:tc>
          <w:tcPr/>
          <w:p>
            <w:pPr>
              <w:pStyle w:val="Compact"/>
              <w:jc w:val="center"/>
            </w:pPr>
            <w:r>
              <w:t xml:space="preserve">-2.0%</w:t>
            </w:r>
          </w:p>
        </w:tc>
        <w:tc>
          <w:tcPr/>
          <w:p>
            <w:pPr>
              <w:pStyle w:val="Compact"/>
              <w:jc w:val="center"/>
            </w:pPr>
            <w:r>
              <w:t xml:space="preserve">0.542</w:t>
            </w:r>
          </w:p>
        </w:tc>
        <w:tc>
          <w:tcPr/>
          <w:p>
            <w:pPr>
              <w:pStyle w:val="Compact"/>
              <w:jc w:val="center"/>
            </w:pPr>
            <w:r>
              <w:t xml:space="preserve">0.13</w:t>
            </w:r>
          </w:p>
        </w:tc>
      </w:tr>
      <w:tr>
        <w:tc>
          <w:tcPr/>
          <w:p>
            <w:pPr>
              <w:pStyle w:val="Compact"/>
              <w:jc w:val="left"/>
            </w:pPr>
            <w:r>
              <w:t xml:space="preserve">F.Load</w:t>
            </w:r>
          </w:p>
        </w:tc>
        <w:tc>
          <w:tcPr/>
          <w:p>
            <w:pPr>
              <w:pStyle w:val="Compact"/>
              <w:jc w:val="center"/>
            </w:pPr>
            <w:r>
              <w:t xml:space="preserve">-7167.29 ± 844.55</w:t>
            </w:r>
          </w:p>
        </w:tc>
        <w:tc>
          <w:tcPr/>
          <w:p>
            <w:pPr>
              <w:pStyle w:val="Compact"/>
              <w:jc w:val="center"/>
            </w:pPr>
            <w:r>
              <w:t xml:space="preserve">-7280.85 ± 1313.66</w:t>
            </w:r>
          </w:p>
        </w:tc>
        <w:tc>
          <w:tcPr/>
          <w:p>
            <w:pPr>
              <w:pStyle w:val="Compact"/>
              <w:jc w:val="center"/>
            </w:pPr>
            <w:r>
              <w:t xml:space="preserve">-1.6%</w:t>
            </w:r>
          </w:p>
        </w:tc>
        <w:tc>
          <w:tcPr/>
          <w:p>
            <w:pPr>
              <w:pStyle w:val="Compact"/>
              <w:jc w:val="center"/>
            </w:pPr>
            <w:r>
              <w:t xml:space="preserve">0.628</w:t>
            </w:r>
          </w:p>
        </w:tc>
        <w:tc>
          <w:tcPr/>
          <w:p>
            <w:pPr>
              <w:pStyle w:val="Compact"/>
              <w:jc w:val="center"/>
            </w:pPr>
            <w:r>
              <w:t xml:space="preserve">0.10</w:t>
            </w:r>
          </w:p>
        </w:tc>
      </w:tr>
    </w:tbl>
    <w:bookmarkEnd w:id="34"/>
    <w:bookmarkStart w:id="39" w:name="Xe9492da88660eeb2a7b15c31f5424169c05792b"/>
    <w:p>
      <w:pPr>
        <w:pStyle w:val="Heading3"/>
      </w:pPr>
      <w:r>
        <w:t xml:space="preserve">5.1.3 Clinical vs. Structural Prediction (The</w:t>
      </w:r>
      <w:r>
        <w:t xml:space="preserve"> </w:t>
      </w:r>
      <w:r>
        <w:t xml:space="preserve">“Grey Zone”</w:t>
      </w:r>
      <w:r>
        <w:t xml:space="preserve"> </w:t>
      </w:r>
      <w:r>
        <w:t xml:space="preserve">Challenge)</w:t>
      </w:r>
    </w:p>
    <w:p>
      <w:pPr>
        <w:pStyle w:val="FirstParagraph"/>
      </w:pPr>
      <w:r>
        <w:t xml:space="preserve">To determine the utility of advanced imaging, we compared the diagnostic performance of a comprehensive</w:t>
      </w:r>
      <w:r>
        <w:t xml:space="preserve"> </w:t>
      </w:r>
      <w:r>
        <w:rPr>
          <w:b/>
          <w:bCs/>
        </w:rPr>
        <w:t xml:space="preserve">Clinical Model</w:t>
      </w:r>
      <w:r>
        <w:t xml:space="preserve"> </w:t>
      </w:r>
      <w:r>
        <w:t xml:space="preserve">(BMD + TBS + FRAX) against the</w:t>
      </w:r>
      <w:r>
        <w:t xml:space="preserve"> </w:t>
      </w:r>
      <w:r>
        <w:rPr>
          <w:b/>
          <w:bCs/>
        </w:rPr>
        <w:t xml:space="preserve">Structural Model</w:t>
      </w:r>
      <w:r>
        <w:t xml:space="preserve"> </w:t>
      </w:r>
      <w:r>
        <w:t xml:space="preserve">(HR-pQCT parameters).</w:t>
      </w:r>
    </w:p>
    <w:p>
      <w:pPr>
        <w:pStyle w:val="BodyText"/>
      </w:pPr>
      <w:r>
        <w:rPr>
          <w:b/>
          <w:bCs/>
        </w:rPr>
        <w:t xml:space="preserve">Table: Model Comparison (Clinical vs. Structural)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Model</w:t>
            </w:r>
          </w:p>
        </w:tc>
        <w:tc>
          <w:tcPr/>
          <w:p>
            <w:pPr>
              <w:pStyle w:val="Compact"/>
              <w:jc w:val="left"/>
            </w:pPr>
            <w:r>
              <w:t xml:space="preserve">Predictors</w:t>
            </w:r>
          </w:p>
        </w:tc>
        <w:tc>
          <w:tcPr/>
          <w:p>
            <w:pPr>
              <w:pStyle w:val="Compact"/>
              <w:jc w:val="center"/>
            </w:pPr>
            <w:r>
              <w:t xml:space="preserve">AUC</w:t>
            </w:r>
          </w:p>
        </w:tc>
      </w:tr>
      <w:tr>
        <w:tc>
          <w:tcPr/>
          <w:p>
            <w:pPr>
              <w:pStyle w:val="Compact"/>
              <w:jc w:val="left"/>
            </w:pPr>
            <w:r>
              <w:rPr>
                <w:b/>
                <w:bCs/>
              </w:rPr>
              <w:t xml:space="preserve">Clinical</w:t>
            </w:r>
          </w:p>
        </w:tc>
        <w:tc>
          <w:tcPr/>
          <w:p>
            <w:pPr>
              <w:pStyle w:val="Compact"/>
              <w:jc w:val="left"/>
            </w:pPr>
            <w:r>
              <w:t xml:space="preserve">BMD + TBS + FRAX</w:t>
            </w:r>
          </w:p>
        </w:tc>
        <w:tc>
          <w:tcPr/>
          <w:p>
            <w:pPr>
              <w:pStyle w:val="Compact"/>
              <w:jc w:val="center"/>
            </w:pPr>
            <w:r>
              <w:t xml:space="preserve">0.60</w:t>
            </w:r>
          </w:p>
        </w:tc>
      </w:tr>
      <w:tr>
        <w:tc>
          <w:tcPr/>
          <w:p>
            <w:pPr>
              <w:pStyle w:val="Compact"/>
              <w:jc w:val="left"/>
            </w:pPr>
            <w:r>
              <w:rPr>
                <w:b/>
                <w:bCs/>
              </w:rPr>
              <w:t xml:space="preserve">Structural</w:t>
            </w:r>
          </w:p>
        </w:tc>
        <w:tc>
          <w:tcPr/>
          <w:p>
            <w:pPr>
              <w:pStyle w:val="Compact"/>
              <w:jc w:val="left"/>
            </w:pPr>
            <w:r>
              <w:t xml:space="preserve">vBMD + Tb.N + F.Load</w:t>
            </w:r>
          </w:p>
        </w:tc>
        <w:tc>
          <w:tcPr/>
          <w:p>
            <w:pPr>
              <w:pStyle w:val="Compact"/>
              <w:jc w:val="center"/>
            </w:pPr>
            <w:r>
              <w:rPr>
                <w:b/>
                <w:bCs/>
              </w:rPr>
              <w:t xml:space="preserve">0.73</w:t>
            </w:r>
          </w:p>
        </w:tc>
      </w:tr>
    </w:tbl>
    <w:p>
      <w:pPr>
        <w:pStyle w:val="BodyText"/>
      </w:pPr>
      <w:r>
        <w:t xml:space="preserve">Despite including FRAX and TBS, the Clinical Model achieved an AUC of only 0.60, highlighting the limitations of current tools in the osteopenic population. In contrast, the Structural Model (incorporating connectivity, density, and strength) achieved a superior AUC of 0.73.</w:t>
      </w:r>
    </w:p>
    <w:tbl>
      <w:tblPr>
        <w:tblStyle w:val="Table"/>
        <w:tblW w:type="pct" w:w="5000"/>
        <w:tblLayout w:type="fixed"/>
        <w:tblLook w:firstRow="0" w:lastRow="0" w:firstColumn="0" w:lastColumn="0" w:noHBand="0" w:noVBand="0" w:val="0000"/>
      </w:tblPr>
      <w:tblGrid>
        <w:gridCol w:w="7920"/>
      </w:tblGrid>
      <w:tr>
        <w:tc>
          <w:tcPr/>
          <w:bookmarkStart w:id="38" w:name="fig-model-comp"/>
          <w:p>
            <w:pPr>
              <w:pStyle w:val="Compact"/>
              <w:jc w:val="center"/>
            </w:pPr>
            <w:r>
              <w:drawing>
                <wp:inline>
                  <wp:extent cx="4267200" cy="4267200"/>
                  <wp:effectExtent b="0" l="0" r="0" t="0"/>
                  <wp:docPr descr="" title="" id="36" name="Picture"/>
                  <a:graphic>
                    <a:graphicData uri="http://schemas.openxmlformats.org/drawingml/2006/picture">
                      <pic:pic>
                        <pic:nvPicPr>
                          <pic:cNvPr descr="../results/figures/Fig_Comparision_ROC.png" id="37" name="Picture"/>
                          <pic:cNvPicPr>
                            <a:picLocks noChangeArrowheads="1" noChangeAspect="1"/>
                          </pic:cNvPicPr>
                        </pic:nvPicPr>
                        <pic:blipFill>
                          <a:blip r:embed="rId35"/>
                          <a:stretch>
                            <a:fillRect/>
                          </a:stretch>
                        </pic:blipFill>
                        <pic:spPr bwMode="auto">
                          <a:xfrm>
                            <a:off x="0" y="0"/>
                            <a:ext cx="42672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Model Comparison.</w:t>
            </w:r>
            <w:r>
              <w:t xml:space="preserve"> </w:t>
            </w:r>
            <w:r>
              <w:t xml:space="preserve">ROC curves illustrating the significant diagnostic gain achieved by integrating HR-pQCT and</w:t>
            </w:r>
            <w:r>
              <w:t xml:space="preserve"> </w:t>
            </w:r>
            <m:oMath>
              <m:r>
                <m:t>μ</m:t>
              </m:r>
            </m:oMath>
            <w:r>
              <w:t xml:space="preserve">FEA parameters compared to the standard clinical assessment (BMD+TBS+FRAX).</w:t>
            </w:r>
          </w:p>
          <w:bookmarkEnd w:id="38"/>
        </w:tc>
      </w:tr>
    </w:tbl>
    <w:p>
      <w:r>
        <w:pict>
          <v:rect style="width:0;height:1.5pt" o:hralign="center" o:hrstd="t" o:hr="t"/>
        </w:pict>
      </w:r>
    </w:p>
    <w:bookmarkEnd w:id="39"/>
    <w:bookmarkEnd w:id="40"/>
    <w:bookmarkStart w:id="41" w:name="X605b05aa25bb321ad3da5d5d5f7e53b4bc2a92a"/>
    <w:p>
      <w:pPr>
        <w:pStyle w:val="Heading2"/>
      </w:pPr>
      <w:r>
        <w:t xml:space="preserve">5.2 Secondary Objective A: Validation in the General Cohort (</w:t>
      </w:r>
      <m:oMath>
        <m:r>
          <m:t>N</m:t>
        </m:r>
        <m:r>
          <m:rPr>
            <m:sty m:val="p"/>
          </m:rPr>
          <m:t>=</m:t>
        </m:r>
        <m:r>
          <m:t>215</m:t>
        </m:r>
      </m:oMath>
      <w:r>
        <w:t xml:space="preserve">)</w:t>
      </w:r>
    </w:p>
    <w:p>
      <w:pPr>
        <w:pStyle w:val="FirstParagraph"/>
      </w:pPr>
      <w:r>
        <w:t xml:space="preserve">To validate these findings, we assessed the total cohort. The effect sizes observed in the grey zone were amplified in the general population, confirming that</w:t>
      </w:r>
      <w:r>
        <w:t xml:space="preserve"> </w:t>
      </w:r>
      <w:r>
        <w:rPr>
          <w:b/>
          <w:bCs/>
        </w:rPr>
        <w:t xml:space="preserve">Trabecular Disconnection</w:t>
      </w:r>
      <w:r>
        <w:t xml:space="preserve"> </w:t>
      </w:r>
      <w:r>
        <w:t xml:space="preserve">is a universal driver of fragility.</w:t>
      </w:r>
    </w:p>
    <w:p>
      <w:pPr>
        <w:pStyle w:val="BodyText"/>
      </w:pPr>
      <w:r>
        <w:rPr>
          <w:b/>
          <w:bCs/>
        </w:rPr>
        <w:t xml:space="preserve">Table 3: Comprehensive HR-pQCT &amp;</w:t>
      </w:r>
      <w:r>
        <w:rPr>
          <w:b/>
          <w:bCs/>
        </w:rPr>
        <w:t xml:space="preserve"> </w:t>
      </w:r>
      <m:oMath>
        <m:r>
          <m:t>μ</m:t>
        </m:r>
      </m:oMath>
      <w:r>
        <w:rPr>
          <w:b/>
          <w:bCs/>
        </w:rPr>
        <w:t xml:space="preserve">FEA Parameters (Total Cohort)</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Parameter</w:t>
            </w:r>
          </w:p>
        </w:tc>
        <w:tc>
          <w:tcPr/>
          <w:p>
            <w:pPr>
              <w:pStyle w:val="Compact"/>
              <w:jc w:val="center"/>
            </w:pPr>
            <w:r>
              <w:t xml:space="preserve">Fracture</w:t>
            </w:r>
          </w:p>
        </w:tc>
        <w:tc>
          <w:tcPr/>
          <w:p>
            <w:pPr>
              <w:pStyle w:val="Compact"/>
              <w:jc w:val="center"/>
            </w:pPr>
            <w:r>
              <w:t xml:space="preserve">Control</w:t>
            </w:r>
          </w:p>
        </w:tc>
        <w:tc>
          <w:tcPr/>
          <w:p>
            <w:pPr>
              <w:pStyle w:val="Compact"/>
              <w:jc w:val="center"/>
            </w:pPr>
            <w:r>
              <w:t xml:space="preserve">% Diff</w:t>
            </w:r>
          </w:p>
        </w:tc>
        <w:tc>
          <w:tcPr/>
          <w:p>
            <w:pPr>
              <w:pStyle w:val="Compact"/>
              <w:jc w:val="center"/>
            </w:pPr>
            <w:r>
              <w:t xml:space="preserve">P-value</w:t>
            </w:r>
          </w:p>
        </w:tc>
        <w:tc>
          <w:tcPr/>
          <w:p>
            <w:pPr>
              <w:pStyle w:val="Compact"/>
              <w:jc w:val="center"/>
            </w:pPr>
            <w:r>
              <w:t xml:space="preserve">Cohen’s d</w:t>
            </w:r>
          </w:p>
        </w:tc>
      </w:tr>
      <w:tr>
        <w:tc>
          <w:tcPr/>
          <w:p>
            <w:pPr>
              <w:pStyle w:val="Compact"/>
              <w:jc w:val="left"/>
            </w:pPr>
            <w:r>
              <w:rPr>
                <w:b/>
                <w:bCs/>
              </w:rPr>
              <w:t xml:space="preserve">Distal Radius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TT.AR</w:t>
            </w:r>
          </w:p>
        </w:tc>
        <w:tc>
          <w:tcPr/>
          <w:p>
            <w:pPr>
              <w:pStyle w:val="Compact"/>
              <w:jc w:val="center"/>
            </w:pPr>
            <w:r>
              <w:t xml:space="preserve">239.30 ± 47.97</w:t>
            </w:r>
          </w:p>
        </w:tc>
        <w:tc>
          <w:tcPr/>
          <w:p>
            <w:pPr>
              <w:pStyle w:val="Compact"/>
              <w:jc w:val="center"/>
            </w:pPr>
            <w:r>
              <w:t xml:space="preserve">236.90 ± 63.70</w:t>
            </w:r>
          </w:p>
        </w:tc>
        <w:tc>
          <w:tcPr/>
          <w:p>
            <w:pPr>
              <w:pStyle w:val="Compact"/>
              <w:jc w:val="center"/>
            </w:pPr>
            <w:r>
              <w:t xml:space="preserve">1.0%</w:t>
            </w:r>
          </w:p>
        </w:tc>
        <w:tc>
          <w:tcPr/>
          <w:p>
            <w:pPr>
              <w:pStyle w:val="Compact"/>
              <w:jc w:val="center"/>
            </w:pPr>
            <w:r>
              <w:t xml:space="preserve">0.759</w:t>
            </w:r>
          </w:p>
        </w:tc>
        <w:tc>
          <w:tcPr/>
          <w:p>
            <w:pPr>
              <w:pStyle w:val="Compact"/>
              <w:jc w:val="center"/>
            </w:pPr>
            <w:r>
              <w:t xml:space="preserve">0.04</w:t>
            </w:r>
          </w:p>
        </w:tc>
      </w:tr>
      <w:tr>
        <w:tc>
          <w:tcPr/>
          <w:p>
            <w:pPr>
              <w:pStyle w:val="Compact"/>
              <w:jc w:val="left"/>
            </w:pPr>
            <w:r>
              <w:t xml:space="preserve">CT.PM</w:t>
            </w:r>
          </w:p>
        </w:tc>
        <w:tc>
          <w:tcPr/>
          <w:p>
            <w:pPr>
              <w:pStyle w:val="Compact"/>
              <w:jc w:val="center"/>
            </w:pPr>
            <w:r>
              <w:t xml:space="preserve">67.40 ± 10.55</w:t>
            </w:r>
          </w:p>
        </w:tc>
        <w:tc>
          <w:tcPr/>
          <w:p>
            <w:pPr>
              <w:pStyle w:val="Compact"/>
              <w:jc w:val="center"/>
            </w:pPr>
            <w:r>
              <w:t xml:space="preserve">66.26 ± 12.72</w:t>
            </w:r>
          </w:p>
        </w:tc>
        <w:tc>
          <w:tcPr/>
          <w:p>
            <w:pPr>
              <w:pStyle w:val="Compact"/>
              <w:jc w:val="center"/>
            </w:pPr>
            <w:r>
              <w:t xml:space="preserve">1.7%</w:t>
            </w:r>
          </w:p>
        </w:tc>
        <w:tc>
          <w:tcPr/>
          <w:p>
            <w:pPr>
              <w:pStyle w:val="Compact"/>
              <w:jc w:val="center"/>
            </w:pPr>
            <w:r>
              <w:t xml:space="preserve">0.483</w:t>
            </w:r>
          </w:p>
        </w:tc>
        <w:tc>
          <w:tcPr/>
          <w:p>
            <w:pPr>
              <w:pStyle w:val="Compact"/>
              <w:jc w:val="center"/>
            </w:pPr>
            <w:r>
              <w:t xml:space="preserve">0.10</w:t>
            </w:r>
          </w:p>
        </w:tc>
      </w:tr>
      <w:tr>
        <w:tc>
          <w:tcPr/>
          <w:p>
            <w:pPr>
              <w:pStyle w:val="Compact"/>
              <w:jc w:val="left"/>
            </w:pPr>
            <w:r>
              <w:t xml:space="preserve">CT.AR</w:t>
            </w:r>
          </w:p>
        </w:tc>
        <w:tc>
          <w:tcPr/>
          <w:p>
            <w:pPr>
              <w:pStyle w:val="Compact"/>
              <w:jc w:val="center"/>
            </w:pPr>
            <w:r>
              <w:t xml:space="preserve">44.77 ± 10.63</w:t>
            </w:r>
          </w:p>
        </w:tc>
        <w:tc>
          <w:tcPr/>
          <w:p>
            <w:pPr>
              <w:pStyle w:val="Compact"/>
              <w:jc w:val="center"/>
            </w:pPr>
            <w:r>
              <w:t xml:space="preserve">49.20 ± 12.34</w:t>
            </w:r>
          </w:p>
        </w:tc>
        <w:tc>
          <w:tcPr/>
          <w:p>
            <w:pPr>
              <w:pStyle w:val="Compact"/>
              <w:jc w:val="center"/>
            </w:pPr>
            <w:r>
              <w:t xml:space="preserve">-9.0%</w:t>
            </w:r>
          </w:p>
        </w:tc>
        <w:tc>
          <w:tcPr/>
          <w:p>
            <w:pPr>
              <w:pStyle w:val="Compact"/>
              <w:jc w:val="center"/>
            </w:pPr>
            <w:r>
              <w:rPr>
                <w:b/>
                <w:bCs/>
              </w:rPr>
              <w:t xml:space="preserve">0.006</w:t>
            </w:r>
          </w:p>
        </w:tc>
        <w:tc>
          <w:tcPr/>
          <w:p>
            <w:pPr>
              <w:pStyle w:val="Compact"/>
              <w:jc w:val="center"/>
            </w:pPr>
            <w:r>
              <w:t xml:space="preserve">0.39</w:t>
            </w:r>
          </w:p>
        </w:tc>
      </w:tr>
      <w:tr>
        <w:tc>
          <w:tcPr/>
          <w:p>
            <w:pPr>
              <w:pStyle w:val="Compact"/>
              <w:jc w:val="left"/>
            </w:pPr>
            <w:r>
              <w:t xml:space="preserve">TB.AR</w:t>
            </w:r>
          </w:p>
        </w:tc>
        <w:tc>
          <w:tcPr/>
          <w:p>
            <w:pPr>
              <w:pStyle w:val="Compact"/>
              <w:jc w:val="center"/>
            </w:pPr>
            <w:r>
              <w:t xml:space="preserve">197.74 ± 48.30</w:t>
            </w:r>
          </w:p>
        </w:tc>
        <w:tc>
          <w:tcPr/>
          <w:p>
            <w:pPr>
              <w:pStyle w:val="Compact"/>
              <w:jc w:val="center"/>
            </w:pPr>
            <w:r>
              <w:t xml:space="preserve">190.87 ± 59.78</w:t>
            </w:r>
          </w:p>
        </w:tc>
        <w:tc>
          <w:tcPr/>
          <w:p>
            <w:pPr>
              <w:pStyle w:val="Compact"/>
              <w:jc w:val="center"/>
            </w:pPr>
            <w:r>
              <w:t xml:space="preserve">3.6%</w:t>
            </w:r>
          </w:p>
        </w:tc>
        <w:tc>
          <w:tcPr/>
          <w:p>
            <w:pPr>
              <w:pStyle w:val="Compact"/>
              <w:jc w:val="center"/>
            </w:pPr>
            <w:r>
              <w:t xml:space="preserve">0.363</w:t>
            </w:r>
          </w:p>
        </w:tc>
        <w:tc>
          <w:tcPr/>
          <w:p>
            <w:pPr>
              <w:pStyle w:val="Compact"/>
              <w:jc w:val="center"/>
            </w:pPr>
            <w:r>
              <w:t xml:space="preserve">0.13</w:t>
            </w:r>
          </w:p>
        </w:tc>
      </w:tr>
      <w:tr>
        <w:tc>
          <w:tcPr/>
          <w:p>
            <w:pPr>
              <w:pStyle w:val="Compact"/>
              <w:jc w:val="left"/>
            </w:pPr>
            <w:r>
              <w:t xml:space="preserve">TB.META.AR</w:t>
            </w:r>
          </w:p>
        </w:tc>
        <w:tc>
          <w:tcPr/>
          <w:p>
            <w:pPr>
              <w:pStyle w:val="Compact"/>
              <w:jc w:val="center"/>
            </w:pPr>
            <w:r>
              <w:t xml:space="preserve">80.38 ± 19.47</w:t>
            </w:r>
          </w:p>
        </w:tc>
        <w:tc>
          <w:tcPr/>
          <w:p>
            <w:pPr>
              <w:pStyle w:val="Compact"/>
              <w:jc w:val="center"/>
            </w:pPr>
            <w:r>
              <w:t xml:space="preserve">77.63 ± 24.06</w:t>
            </w:r>
          </w:p>
        </w:tc>
        <w:tc>
          <w:tcPr/>
          <w:p>
            <w:pPr>
              <w:pStyle w:val="Compact"/>
              <w:jc w:val="center"/>
            </w:pPr>
            <w:r>
              <w:t xml:space="preserve">3.5%</w:t>
            </w:r>
          </w:p>
        </w:tc>
        <w:tc>
          <w:tcPr/>
          <w:p>
            <w:pPr>
              <w:pStyle w:val="Compact"/>
              <w:jc w:val="center"/>
            </w:pPr>
            <w:r>
              <w:t xml:space="preserve">0.365</w:t>
            </w:r>
          </w:p>
        </w:tc>
        <w:tc>
          <w:tcPr/>
          <w:p>
            <w:pPr>
              <w:pStyle w:val="Compact"/>
              <w:jc w:val="center"/>
            </w:pPr>
            <w:r>
              <w:t xml:space="preserve">0.13</w:t>
            </w:r>
          </w:p>
        </w:tc>
      </w:tr>
      <w:tr>
        <w:tc>
          <w:tcPr/>
          <w:p>
            <w:pPr>
              <w:pStyle w:val="Compact"/>
              <w:jc w:val="left"/>
            </w:pPr>
            <w:r>
              <w:t xml:space="preserve">TB.INN.AR</w:t>
            </w:r>
          </w:p>
        </w:tc>
        <w:tc>
          <w:tcPr/>
          <w:p>
            <w:pPr>
              <w:pStyle w:val="Compact"/>
              <w:jc w:val="center"/>
            </w:pPr>
            <w:r>
              <w:t xml:space="preserve">117.35 ± 28.82</w:t>
            </w:r>
          </w:p>
        </w:tc>
        <w:tc>
          <w:tcPr/>
          <w:p>
            <w:pPr>
              <w:pStyle w:val="Compact"/>
              <w:jc w:val="center"/>
            </w:pPr>
            <w:r>
              <w:t xml:space="preserve">113.26 ± 35.72</w:t>
            </w:r>
          </w:p>
        </w:tc>
        <w:tc>
          <w:tcPr/>
          <w:p>
            <w:pPr>
              <w:pStyle w:val="Compact"/>
              <w:jc w:val="center"/>
            </w:pPr>
            <w:r>
              <w:t xml:space="preserve">3.6%</w:t>
            </w:r>
          </w:p>
        </w:tc>
        <w:tc>
          <w:tcPr/>
          <w:p>
            <w:pPr>
              <w:pStyle w:val="Compact"/>
              <w:jc w:val="center"/>
            </w:pPr>
            <w:r>
              <w:t xml:space="preserve">0.364</w:t>
            </w:r>
          </w:p>
        </w:tc>
        <w:tc>
          <w:tcPr/>
          <w:p>
            <w:pPr>
              <w:pStyle w:val="Compact"/>
              <w:jc w:val="center"/>
            </w:pPr>
            <w:r>
              <w:t xml:space="preserve">0.13</w:t>
            </w:r>
          </w:p>
        </w:tc>
      </w:tr>
      <w:tr>
        <w:tc>
          <w:tcPr/>
          <w:p>
            <w:pPr>
              <w:pStyle w:val="Compact"/>
              <w:jc w:val="left"/>
            </w:pPr>
            <w:r>
              <w:t xml:space="preserve">ttvBMD</w:t>
            </w:r>
          </w:p>
        </w:tc>
        <w:tc>
          <w:tcPr/>
          <w:p>
            <w:pPr>
              <w:pStyle w:val="Compact"/>
              <w:jc w:val="center"/>
            </w:pPr>
            <w:r>
              <w:t xml:space="preserve">235.32 ± 71.50</w:t>
            </w:r>
          </w:p>
        </w:tc>
        <w:tc>
          <w:tcPr/>
          <w:p>
            <w:pPr>
              <w:pStyle w:val="Compact"/>
              <w:jc w:val="center"/>
            </w:pPr>
            <w:r>
              <w:t xml:space="preserve">270.98 ± 71.82</w:t>
            </w:r>
          </w:p>
        </w:tc>
        <w:tc>
          <w:tcPr/>
          <w:p>
            <w:pPr>
              <w:pStyle w:val="Compact"/>
              <w:jc w:val="center"/>
            </w:pPr>
            <w:r>
              <w:t xml:space="preserve">-13.2%</w:t>
            </w:r>
          </w:p>
        </w:tc>
        <w:tc>
          <w:tcPr/>
          <w:p>
            <w:pPr>
              <w:pStyle w:val="Compact"/>
              <w:jc w:val="center"/>
            </w:pPr>
            <w:r>
              <w:rPr>
                <w:b/>
                <w:bCs/>
              </w:rPr>
              <w:t xml:space="preserve">&lt;0.001</w:t>
            </w:r>
          </w:p>
        </w:tc>
        <w:tc>
          <w:tcPr/>
          <w:p>
            <w:pPr>
              <w:pStyle w:val="Compact"/>
              <w:jc w:val="center"/>
            </w:pPr>
            <w:r>
              <w:t xml:space="preserve">0.50</w:t>
            </w:r>
          </w:p>
        </w:tc>
      </w:tr>
      <w:tr>
        <w:tc>
          <w:tcPr/>
          <w:p>
            <w:pPr>
              <w:pStyle w:val="Compact"/>
              <w:jc w:val="left"/>
            </w:pPr>
            <w:r>
              <w:t xml:space="preserve">tbvBMD</w:t>
            </w:r>
          </w:p>
        </w:tc>
        <w:tc>
          <w:tcPr/>
          <w:p>
            <w:pPr>
              <w:pStyle w:val="Compact"/>
              <w:jc w:val="center"/>
            </w:pPr>
            <w:r>
              <w:t xml:space="preserve">93.78 ± 37.94</w:t>
            </w:r>
          </w:p>
        </w:tc>
        <w:tc>
          <w:tcPr/>
          <w:p>
            <w:pPr>
              <w:pStyle w:val="Compact"/>
              <w:jc w:val="center"/>
            </w:pPr>
            <w:r>
              <w:t xml:space="preserve">112.19 ± 39.37</w:t>
            </w:r>
          </w:p>
        </w:tc>
        <w:tc>
          <w:tcPr/>
          <w:p>
            <w:pPr>
              <w:pStyle w:val="Compact"/>
              <w:jc w:val="center"/>
            </w:pPr>
            <w:r>
              <w:t xml:space="preserve">-16.4%</w:t>
            </w:r>
          </w:p>
        </w:tc>
        <w:tc>
          <w:tcPr/>
          <w:p>
            <w:pPr>
              <w:pStyle w:val="Compact"/>
              <w:jc w:val="center"/>
            </w:pPr>
            <w:r>
              <w:rPr>
                <w:b/>
                <w:bCs/>
              </w:rPr>
              <w:t xml:space="preserve">&lt;0.001</w:t>
            </w:r>
          </w:p>
        </w:tc>
        <w:tc>
          <w:tcPr/>
          <w:p>
            <w:pPr>
              <w:pStyle w:val="Compact"/>
              <w:jc w:val="center"/>
            </w:pPr>
            <w:r>
              <w:t xml:space="preserve">0.48</w:t>
            </w:r>
          </w:p>
        </w:tc>
      </w:tr>
      <w:tr>
        <w:tc>
          <w:tcPr/>
          <w:p>
            <w:pPr>
              <w:pStyle w:val="Compact"/>
              <w:jc w:val="left"/>
            </w:pPr>
            <w:r>
              <w:t xml:space="preserve">TbMeta.v.BMD</w:t>
            </w:r>
          </w:p>
        </w:tc>
        <w:tc>
          <w:tcPr/>
          <w:p>
            <w:pPr>
              <w:pStyle w:val="Compact"/>
              <w:jc w:val="center"/>
            </w:pPr>
            <w:r>
              <w:t xml:space="preserve">150.52 ± 38.62</w:t>
            </w:r>
          </w:p>
        </w:tc>
        <w:tc>
          <w:tcPr/>
          <w:p>
            <w:pPr>
              <w:pStyle w:val="Compact"/>
              <w:jc w:val="center"/>
            </w:pPr>
            <w:r>
              <w:t xml:space="preserve">170.93 ± 39.72</w:t>
            </w:r>
          </w:p>
        </w:tc>
        <w:tc>
          <w:tcPr/>
          <w:p>
            <w:pPr>
              <w:pStyle w:val="Compact"/>
              <w:jc w:val="center"/>
            </w:pPr>
            <w:r>
              <w:t xml:space="preserve">-11.9%</w:t>
            </w:r>
          </w:p>
        </w:tc>
        <w:tc>
          <w:tcPr/>
          <w:p>
            <w:pPr>
              <w:pStyle w:val="Compact"/>
              <w:jc w:val="center"/>
            </w:pPr>
            <w:r>
              <w:rPr>
                <w:b/>
                <w:bCs/>
              </w:rPr>
              <w:t xml:space="preserve">&lt;0.001</w:t>
            </w:r>
          </w:p>
        </w:tc>
        <w:tc>
          <w:tcPr/>
          <w:p>
            <w:pPr>
              <w:pStyle w:val="Compact"/>
              <w:jc w:val="center"/>
            </w:pPr>
            <w:r>
              <w:t xml:space="preserve">0.52</w:t>
            </w:r>
          </w:p>
        </w:tc>
      </w:tr>
      <w:tr>
        <w:tc>
          <w:tcPr/>
          <w:p>
            <w:pPr>
              <w:pStyle w:val="Compact"/>
              <w:jc w:val="left"/>
            </w:pPr>
            <w:r>
              <w:t xml:space="preserve">Tb.inn.BMD</w:t>
            </w:r>
          </w:p>
        </w:tc>
        <w:tc>
          <w:tcPr/>
          <w:p>
            <w:pPr>
              <w:pStyle w:val="Compact"/>
              <w:jc w:val="center"/>
            </w:pPr>
            <w:r>
              <w:t xml:space="preserve">54.87 ± 38.72</w:t>
            </w:r>
          </w:p>
        </w:tc>
        <w:tc>
          <w:tcPr/>
          <w:p>
            <w:pPr>
              <w:pStyle w:val="Compact"/>
              <w:jc w:val="center"/>
            </w:pPr>
            <w:r>
              <w:t xml:space="preserve">71.92 ± 40.82</w:t>
            </w:r>
          </w:p>
        </w:tc>
        <w:tc>
          <w:tcPr/>
          <w:p>
            <w:pPr>
              <w:pStyle w:val="Compact"/>
              <w:jc w:val="center"/>
            </w:pPr>
            <w:r>
              <w:t xml:space="preserve">-23.7%</w:t>
            </w:r>
          </w:p>
        </w:tc>
        <w:tc>
          <w:tcPr/>
          <w:p>
            <w:pPr>
              <w:pStyle w:val="Compact"/>
              <w:jc w:val="center"/>
            </w:pPr>
            <w:r>
              <w:rPr>
                <w:b/>
                <w:bCs/>
              </w:rPr>
              <w:t xml:space="preserve">0.002</w:t>
            </w:r>
          </w:p>
        </w:tc>
        <w:tc>
          <w:tcPr/>
          <w:p>
            <w:pPr>
              <w:pStyle w:val="Compact"/>
              <w:jc w:val="center"/>
            </w:pPr>
            <w:r>
              <w:t xml:space="preserve">0.43</w:t>
            </w:r>
          </w:p>
        </w:tc>
      </w:tr>
      <w:tr>
        <w:tc>
          <w:tcPr/>
          <w:p>
            <w:pPr>
              <w:pStyle w:val="Compact"/>
              <w:jc w:val="left"/>
            </w:pPr>
            <w:r>
              <w:t xml:space="preserve">CTvBMD</w:t>
            </w:r>
          </w:p>
        </w:tc>
        <w:tc>
          <w:tcPr/>
          <w:p>
            <w:pPr>
              <w:pStyle w:val="Compact"/>
              <w:jc w:val="center"/>
            </w:pPr>
            <w:r>
              <w:t xml:space="preserve">839.83 ± 84.24</w:t>
            </w:r>
          </w:p>
        </w:tc>
        <w:tc>
          <w:tcPr/>
          <w:p>
            <w:pPr>
              <w:pStyle w:val="Compact"/>
              <w:jc w:val="center"/>
            </w:pPr>
            <w:r>
              <w:t xml:space="preserve">866.66 ± 85.43</w:t>
            </w:r>
          </w:p>
        </w:tc>
        <w:tc>
          <w:tcPr/>
          <w:p>
            <w:pPr>
              <w:pStyle w:val="Compact"/>
              <w:jc w:val="center"/>
            </w:pPr>
            <w:r>
              <w:t xml:space="preserve">-3.1%</w:t>
            </w:r>
          </w:p>
        </w:tc>
        <w:tc>
          <w:tcPr/>
          <w:p>
            <w:pPr>
              <w:pStyle w:val="Compact"/>
              <w:jc w:val="center"/>
            </w:pPr>
            <w:r>
              <w:rPr>
                <w:b/>
                <w:bCs/>
              </w:rPr>
              <w:t xml:space="preserve">0.022</w:t>
            </w:r>
          </w:p>
        </w:tc>
        <w:tc>
          <w:tcPr/>
          <w:p>
            <w:pPr>
              <w:pStyle w:val="Compact"/>
              <w:jc w:val="center"/>
            </w:pPr>
            <w:r>
              <w:t xml:space="preserve">0.32</w:t>
            </w:r>
          </w:p>
        </w:tc>
      </w:tr>
      <w:tr>
        <w:tc>
          <w:tcPr/>
          <w:p>
            <w:pPr>
              <w:pStyle w:val="Compact"/>
              <w:jc w:val="left"/>
            </w:pPr>
            <w:r>
              <w:t xml:space="preserve">BV/TV</w:t>
            </w:r>
          </w:p>
        </w:tc>
        <w:tc>
          <w:tcPr/>
          <w:p>
            <w:pPr>
              <w:pStyle w:val="Compact"/>
              <w:jc w:val="center"/>
            </w:pPr>
            <w:r>
              <w:t xml:space="preserve">0.13 ± 0.05</w:t>
            </w:r>
          </w:p>
        </w:tc>
        <w:tc>
          <w:tcPr/>
          <w:p>
            <w:pPr>
              <w:pStyle w:val="Compact"/>
              <w:jc w:val="center"/>
            </w:pPr>
            <w:r>
              <w:t xml:space="preserve">0.16 ± 0.05</w:t>
            </w:r>
          </w:p>
        </w:tc>
        <w:tc>
          <w:tcPr/>
          <w:p>
            <w:pPr>
              <w:pStyle w:val="Compact"/>
              <w:jc w:val="center"/>
            </w:pPr>
            <w:r>
              <w:t xml:space="preserve">-16.3%</w:t>
            </w:r>
          </w:p>
        </w:tc>
        <w:tc>
          <w:tcPr/>
          <w:p>
            <w:pPr>
              <w:pStyle w:val="Compact"/>
              <w:jc w:val="center"/>
            </w:pPr>
            <w:r>
              <w:rPr>
                <w:b/>
                <w:bCs/>
              </w:rPr>
              <w:t xml:space="preserve">&lt;0.001</w:t>
            </w:r>
          </w:p>
        </w:tc>
        <w:tc>
          <w:tcPr/>
          <w:p>
            <w:pPr>
              <w:pStyle w:val="Compact"/>
              <w:jc w:val="center"/>
            </w:pPr>
            <w:r>
              <w:t xml:space="preserve">0.50</w:t>
            </w:r>
          </w:p>
        </w:tc>
      </w:tr>
      <w:tr>
        <w:tc>
          <w:tcPr/>
          <w:p>
            <w:pPr>
              <w:pStyle w:val="Compact"/>
              <w:jc w:val="left"/>
            </w:pPr>
            <w:r>
              <w:t xml:space="preserve">TB.N</w:t>
            </w:r>
          </w:p>
        </w:tc>
        <w:tc>
          <w:tcPr/>
          <w:p>
            <w:pPr>
              <w:pStyle w:val="Compact"/>
              <w:jc w:val="center"/>
            </w:pPr>
            <w:r>
              <w:t xml:space="preserve">1.00 ± 0.26</w:t>
            </w:r>
          </w:p>
        </w:tc>
        <w:tc>
          <w:tcPr/>
          <w:p>
            <w:pPr>
              <w:pStyle w:val="Compact"/>
              <w:jc w:val="center"/>
            </w:pPr>
            <w:r>
              <w:t xml:space="preserve">1.11 ± 0.24</w:t>
            </w:r>
          </w:p>
        </w:tc>
        <w:tc>
          <w:tcPr/>
          <w:p>
            <w:pPr>
              <w:pStyle w:val="Compact"/>
              <w:jc w:val="center"/>
            </w:pPr>
            <w:r>
              <w:t xml:space="preserve">-10.5%</w:t>
            </w:r>
          </w:p>
        </w:tc>
        <w:tc>
          <w:tcPr/>
          <w:p>
            <w:pPr>
              <w:pStyle w:val="Compact"/>
              <w:jc w:val="center"/>
            </w:pPr>
            <w:r>
              <w:rPr>
                <w:b/>
                <w:bCs/>
              </w:rPr>
              <w:t xml:space="preserve">&lt;0.001</w:t>
            </w:r>
          </w:p>
        </w:tc>
        <w:tc>
          <w:tcPr/>
          <w:p>
            <w:pPr>
              <w:pStyle w:val="Compact"/>
              <w:jc w:val="center"/>
            </w:pPr>
            <w:r>
              <w:t xml:space="preserve">0.47</w:t>
            </w:r>
          </w:p>
        </w:tc>
      </w:tr>
      <w:tr>
        <w:tc>
          <w:tcPr/>
          <w:p>
            <w:pPr>
              <w:pStyle w:val="Compact"/>
              <w:jc w:val="left"/>
            </w:pPr>
            <w:r>
              <w:t xml:space="preserve">TB.TH</w:t>
            </w:r>
          </w:p>
        </w:tc>
        <w:tc>
          <w:tcPr/>
          <w:p>
            <w:pPr>
              <w:pStyle w:val="Compact"/>
              <w:jc w:val="center"/>
            </w:pPr>
            <w:r>
              <w:t xml:space="preserve">0.22 ± 0.02</w:t>
            </w:r>
          </w:p>
        </w:tc>
        <w:tc>
          <w:tcPr/>
          <w:p>
            <w:pPr>
              <w:pStyle w:val="Compact"/>
              <w:jc w:val="center"/>
            </w:pPr>
            <w:r>
              <w:t xml:space="preserve">0.22 ± 0.03</w:t>
            </w:r>
          </w:p>
        </w:tc>
        <w:tc>
          <w:tcPr/>
          <w:p>
            <w:pPr>
              <w:pStyle w:val="Compact"/>
              <w:jc w:val="center"/>
            </w:pPr>
            <w:r>
              <w:t xml:space="preserve">-2.3%</w:t>
            </w:r>
          </w:p>
        </w:tc>
        <w:tc>
          <w:tcPr/>
          <w:p>
            <w:pPr>
              <w:pStyle w:val="Compact"/>
              <w:jc w:val="center"/>
            </w:pPr>
            <w:r>
              <w:t xml:space="preserve">0.154</w:t>
            </w:r>
          </w:p>
        </w:tc>
        <w:tc>
          <w:tcPr/>
          <w:p>
            <w:pPr>
              <w:pStyle w:val="Compact"/>
              <w:jc w:val="center"/>
            </w:pPr>
            <w:r>
              <w:t xml:space="preserve">0.20</w:t>
            </w:r>
          </w:p>
        </w:tc>
      </w:tr>
      <w:tr>
        <w:tc>
          <w:tcPr/>
          <w:p>
            <w:pPr>
              <w:pStyle w:val="Compact"/>
              <w:jc w:val="left"/>
            </w:pPr>
            <w:r>
              <w:t xml:space="preserve">TB.SP</w:t>
            </w:r>
          </w:p>
        </w:tc>
        <w:tc>
          <w:tcPr/>
          <w:p>
            <w:pPr>
              <w:pStyle w:val="Compact"/>
              <w:jc w:val="center"/>
            </w:pPr>
            <w:r>
              <w:t xml:space="preserve">1.07 ± 0.37</w:t>
            </w:r>
          </w:p>
        </w:tc>
        <w:tc>
          <w:tcPr/>
          <w:p>
            <w:pPr>
              <w:pStyle w:val="Compact"/>
              <w:jc w:val="center"/>
            </w:pPr>
            <w:r>
              <w:t xml:space="preserve">0.93 ± 0.30</w:t>
            </w:r>
          </w:p>
        </w:tc>
        <w:tc>
          <w:tcPr/>
          <w:p>
            <w:pPr>
              <w:pStyle w:val="Compact"/>
              <w:jc w:val="center"/>
            </w:pPr>
            <w:r>
              <w:t xml:space="preserve">15.0%</w:t>
            </w:r>
          </w:p>
        </w:tc>
        <w:tc>
          <w:tcPr/>
          <w:p>
            <w:pPr>
              <w:pStyle w:val="Compact"/>
              <w:jc w:val="center"/>
            </w:pPr>
            <w:r>
              <w:rPr>
                <w:b/>
                <w:bCs/>
              </w:rPr>
              <w:t xml:space="preserve">0.002</w:t>
            </w:r>
          </w:p>
        </w:tc>
        <w:tc>
          <w:tcPr/>
          <w:p>
            <w:pPr>
              <w:pStyle w:val="Compact"/>
              <w:jc w:val="center"/>
            </w:pPr>
            <w:r>
              <w:t xml:space="preserve">0.41</w:t>
            </w:r>
          </w:p>
        </w:tc>
      </w:tr>
      <w:tr>
        <w:tc>
          <w:tcPr/>
          <w:p>
            <w:pPr>
              <w:pStyle w:val="Compact"/>
              <w:jc w:val="left"/>
            </w:pPr>
            <w:r>
              <w:t xml:space="preserve">TB.1/N.SD</w:t>
            </w:r>
          </w:p>
        </w:tc>
        <w:tc>
          <w:tcPr/>
          <w:p>
            <w:pPr>
              <w:pStyle w:val="Compact"/>
              <w:jc w:val="center"/>
            </w:pPr>
            <w:r>
              <w:t xml:space="preserve">0.52 ± 0.36</w:t>
            </w:r>
          </w:p>
        </w:tc>
        <w:tc>
          <w:tcPr/>
          <w:p>
            <w:pPr>
              <w:pStyle w:val="Compact"/>
              <w:jc w:val="center"/>
            </w:pPr>
            <w:r>
              <w:t xml:space="preserve">0.40 ± 0.28</w:t>
            </w:r>
          </w:p>
        </w:tc>
        <w:tc>
          <w:tcPr/>
          <w:p>
            <w:pPr>
              <w:pStyle w:val="Compact"/>
              <w:jc w:val="center"/>
            </w:pPr>
            <w:r>
              <w:t xml:space="preserve">28.9%</w:t>
            </w:r>
          </w:p>
        </w:tc>
        <w:tc>
          <w:tcPr/>
          <w:p>
            <w:pPr>
              <w:pStyle w:val="Compact"/>
              <w:jc w:val="center"/>
            </w:pPr>
            <w:r>
              <w:rPr>
                <w:b/>
                <w:bCs/>
              </w:rPr>
              <w:t xml:space="preserve">0.009</w:t>
            </w:r>
          </w:p>
        </w:tc>
        <w:tc>
          <w:tcPr/>
          <w:p>
            <w:pPr>
              <w:pStyle w:val="Compact"/>
              <w:jc w:val="center"/>
            </w:pPr>
            <w:r>
              <w:t xml:space="preserve">0.35</w:t>
            </w:r>
          </w:p>
        </w:tc>
      </w:tr>
      <w:tr>
        <w:tc>
          <w:tcPr/>
          <w:p>
            <w:pPr>
              <w:pStyle w:val="Compact"/>
              <w:jc w:val="left"/>
            </w:pPr>
            <w:r>
              <w:t xml:space="preserve">CT.TH</w:t>
            </w:r>
          </w:p>
        </w:tc>
        <w:tc>
          <w:tcPr/>
          <w:p>
            <w:pPr>
              <w:pStyle w:val="Compact"/>
              <w:jc w:val="center"/>
            </w:pPr>
            <w:r>
              <w:t xml:space="preserve">0.83 ± 0.23</w:t>
            </w:r>
          </w:p>
        </w:tc>
        <w:tc>
          <w:tcPr/>
          <w:p>
            <w:pPr>
              <w:pStyle w:val="Compact"/>
              <w:jc w:val="center"/>
            </w:pPr>
            <w:r>
              <w:t xml:space="preserve">0.93 ± 0.23</w:t>
            </w:r>
          </w:p>
        </w:tc>
        <w:tc>
          <w:tcPr/>
          <w:p>
            <w:pPr>
              <w:pStyle w:val="Compact"/>
              <w:jc w:val="center"/>
            </w:pPr>
            <w:r>
              <w:t xml:space="preserve">-10.0%</w:t>
            </w:r>
          </w:p>
        </w:tc>
        <w:tc>
          <w:tcPr/>
          <w:p>
            <w:pPr>
              <w:pStyle w:val="Compact"/>
              <w:jc w:val="center"/>
            </w:pPr>
            <w:r>
              <w:rPr>
                <w:b/>
                <w:bCs/>
              </w:rPr>
              <w:t xml:space="preserve">0.004</w:t>
            </w:r>
          </w:p>
        </w:tc>
        <w:tc>
          <w:tcPr/>
          <w:p>
            <w:pPr>
              <w:pStyle w:val="Compact"/>
              <w:jc w:val="center"/>
            </w:pPr>
            <w:r>
              <w:t xml:space="preserve">0.40</w:t>
            </w:r>
          </w:p>
        </w:tc>
      </w:tr>
      <w:tr>
        <w:tc>
          <w:tcPr/>
          <w:p>
            <w:pPr>
              <w:pStyle w:val="Compact"/>
              <w:jc w:val="left"/>
            </w:pPr>
            <w:r>
              <w:t xml:space="preserve">CT.PO</w:t>
            </w:r>
          </w:p>
        </w:tc>
        <w:tc>
          <w:tcPr/>
          <w:p>
            <w:pPr>
              <w:pStyle w:val="Compact"/>
              <w:jc w:val="center"/>
            </w:pPr>
            <w:r>
              <w:t xml:space="preserve">0.01 ± 0.01</w:t>
            </w:r>
          </w:p>
        </w:tc>
        <w:tc>
          <w:tcPr/>
          <w:p>
            <w:pPr>
              <w:pStyle w:val="Compact"/>
              <w:jc w:val="center"/>
            </w:pPr>
            <w:r>
              <w:t xml:space="preserve">0.01 ± 0.01</w:t>
            </w:r>
          </w:p>
        </w:tc>
        <w:tc>
          <w:tcPr/>
          <w:p>
            <w:pPr>
              <w:pStyle w:val="Compact"/>
              <w:jc w:val="center"/>
            </w:pPr>
            <w:r>
              <w:t xml:space="preserve">-8.6%</w:t>
            </w:r>
          </w:p>
        </w:tc>
        <w:tc>
          <w:tcPr/>
          <w:p>
            <w:pPr>
              <w:pStyle w:val="Compact"/>
              <w:jc w:val="center"/>
            </w:pPr>
            <w:r>
              <w:t xml:space="preserve">0.588</w:t>
            </w:r>
          </w:p>
        </w:tc>
        <w:tc>
          <w:tcPr/>
          <w:p>
            <w:pPr>
              <w:pStyle w:val="Compact"/>
              <w:jc w:val="center"/>
            </w:pPr>
            <w:r>
              <w:t xml:space="preserve">0.07</w:t>
            </w:r>
          </w:p>
        </w:tc>
      </w:tr>
      <w:tr>
        <w:tc>
          <w:tcPr/>
          <w:p>
            <w:pPr>
              <w:pStyle w:val="Compact"/>
              <w:jc w:val="left"/>
            </w:pPr>
            <w:r>
              <w:t xml:space="preserve">CT.PO.DM</w:t>
            </w:r>
          </w:p>
        </w:tc>
        <w:tc>
          <w:tcPr/>
          <w:p>
            <w:pPr>
              <w:pStyle w:val="Compact"/>
              <w:jc w:val="center"/>
            </w:pPr>
            <w:r>
              <w:t xml:space="preserve">0.17 ± 0.04</w:t>
            </w:r>
          </w:p>
        </w:tc>
        <w:tc>
          <w:tcPr/>
          <w:p>
            <w:pPr>
              <w:pStyle w:val="Compact"/>
              <w:jc w:val="center"/>
            </w:pPr>
            <w:r>
              <w:t xml:space="preserve">0.17 ± 0.04</w:t>
            </w:r>
          </w:p>
        </w:tc>
        <w:tc>
          <w:tcPr/>
          <w:p>
            <w:pPr>
              <w:pStyle w:val="Compact"/>
              <w:jc w:val="center"/>
            </w:pPr>
            <w:r>
              <w:t xml:space="preserve">-3.9%</w:t>
            </w:r>
          </w:p>
        </w:tc>
        <w:tc>
          <w:tcPr/>
          <w:p>
            <w:pPr>
              <w:pStyle w:val="Compact"/>
              <w:jc w:val="center"/>
            </w:pPr>
            <w:r>
              <w:t xml:space="preserve">0.209</w:t>
            </w:r>
          </w:p>
        </w:tc>
        <w:tc>
          <w:tcPr/>
          <w:p>
            <w:pPr>
              <w:pStyle w:val="Compact"/>
              <w:jc w:val="center"/>
            </w:pPr>
            <w:r>
              <w:t xml:space="preserve">0.17</w:t>
            </w:r>
          </w:p>
        </w:tc>
      </w:tr>
      <w:tr>
        <w:tc>
          <w:tcPr/>
          <w:p>
            <w:pPr>
              <w:pStyle w:val="Compact"/>
              <w:jc w:val="left"/>
            </w:pPr>
            <w:r>
              <w:t xml:space="preserve">Stiffness</w:t>
            </w:r>
          </w:p>
        </w:tc>
        <w:tc>
          <w:tcPr/>
          <w:p>
            <w:pPr>
              <w:pStyle w:val="Compact"/>
              <w:jc w:val="center"/>
            </w:pPr>
            <w:r>
              <w:t xml:space="preserve">41319.12 ± 17828.22</w:t>
            </w:r>
          </w:p>
        </w:tc>
        <w:tc>
          <w:tcPr/>
          <w:p>
            <w:pPr>
              <w:pStyle w:val="Compact"/>
              <w:jc w:val="center"/>
            </w:pPr>
            <w:r>
              <w:t xml:space="preserve">46638.55 ± 19123.38</w:t>
            </w:r>
          </w:p>
        </w:tc>
        <w:tc>
          <w:tcPr/>
          <w:p>
            <w:pPr>
              <w:pStyle w:val="Compact"/>
              <w:jc w:val="center"/>
            </w:pPr>
            <w:r>
              <w:t xml:space="preserve">-11.4%</w:t>
            </w:r>
          </w:p>
        </w:tc>
        <w:tc>
          <w:tcPr/>
          <w:p>
            <w:pPr>
              <w:pStyle w:val="Compact"/>
              <w:jc w:val="center"/>
            </w:pPr>
            <w:r>
              <w:rPr>
                <w:b/>
                <w:bCs/>
              </w:rPr>
              <w:t xml:space="preserve">0.038</w:t>
            </w:r>
          </w:p>
        </w:tc>
        <w:tc>
          <w:tcPr/>
          <w:p>
            <w:pPr>
              <w:pStyle w:val="Compact"/>
              <w:jc w:val="center"/>
            </w:pPr>
            <w:r>
              <w:t xml:space="preserve">0.29</w:t>
            </w:r>
          </w:p>
        </w:tc>
      </w:tr>
      <w:tr>
        <w:tc>
          <w:tcPr/>
          <w:p>
            <w:pPr>
              <w:pStyle w:val="Compact"/>
              <w:jc w:val="left"/>
            </w:pPr>
            <w:r>
              <w:t xml:space="preserve">F.Load</w:t>
            </w:r>
          </w:p>
        </w:tc>
        <w:tc>
          <w:tcPr/>
          <w:p>
            <w:pPr>
              <w:pStyle w:val="Compact"/>
              <w:jc w:val="center"/>
            </w:pPr>
            <w:r>
              <w:t xml:space="preserve">-2185.33 ± 990.48</w:t>
            </w:r>
          </w:p>
        </w:tc>
        <w:tc>
          <w:tcPr/>
          <w:p>
            <w:pPr>
              <w:pStyle w:val="Compact"/>
              <w:jc w:val="center"/>
            </w:pPr>
            <w:r>
              <w:t xml:space="preserve">-2486.77 ± 1069.71</w:t>
            </w:r>
          </w:p>
        </w:tc>
        <w:tc>
          <w:tcPr/>
          <w:p>
            <w:pPr>
              <w:pStyle w:val="Compact"/>
              <w:jc w:val="center"/>
            </w:pPr>
            <w:r>
              <w:t xml:space="preserve">-12.1%</w:t>
            </w:r>
          </w:p>
        </w:tc>
        <w:tc>
          <w:tcPr/>
          <w:p>
            <w:pPr>
              <w:pStyle w:val="Compact"/>
              <w:jc w:val="center"/>
            </w:pPr>
            <w:r>
              <w:rPr>
                <w:b/>
                <w:bCs/>
              </w:rPr>
              <w:t xml:space="preserve">0.035</w:t>
            </w:r>
          </w:p>
        </w:tc>
        <w:tc>
          <w:tcPr/>
          <w:p>
            <w:pPr>
              <w:pStyle w:val="Compact"/>
              <w:jc w:val="center"/>
            </w:pPr>
            <w:r>
              <w:t xml:space="preserve">0.29</w:t>
            </w:r>
          </w:p>
        </w:tc>
      </w:tr>
      <w:tr>
        <w:tc>
          <w:tcPr/>
          <w:p>
            <w:pPr>
              <w:pStyle w:val="Compact"/>
              <w:jc w:val="left"/>
            </w:pPr>
            <w:r>
              <w:rPr>
                <w:b/>
                <w:bCs/>
              </w:rPr>
              <w:t xml:space="preserve">Distal Tibia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TT.AR</w:t>
            </w:r>
          </w:p>
        </w:tc>
        <w:tc>
          <w:tcPr/>
          <w:p>
            <w:pPr>
              <w:pStyle w:val="Compact"/>
              <w:jc w:val="center"/>
            </w:pPr>
            <w:r>
              <w:t xml:space="preserve">537.26 ± 79.54</w:t>
            </w:r>
          </w:p>
        </w:tc>
        <w:tc>
          <w:tcPr/>
          <w:p>
            <w:pPr>
              <w:pStyle w:val="Compact"/>
              <w:jc w:val="center"/>
            </w:pPr>
            <w:r>
              <w:t xml:space="preserve">534.66 ± 96.41</w:t>
            </w:r>
          </w:p>
        </w:tc>
        <w:tc>
          <w:tcPr/>
          <w:p>
            <w:pPr>
              <w:pStyle w:val="Compact"/>
              <w:jc w:val="center"/>
            </w:pPr>
            <w:r>
              <w:t xml:space="preserve">0.5%</w:t>
            </w:r>
          </w:p>
        </w:tc>
        <w:tc>
          <w:tcPr/>
          <w:p>
            <w:pPr>
              <w:pStyle w:val="Compact"/>
              <w:jc w:val="center"/>
            </w:pPr>
            <w:r>
              <w:t xml:space="preserve">0.831</w:t>
            </w:r>
          </w:p>
        </w:tc>
        <w:tc>
          <w:tcPr/>
          <w:p>
            <w:pPr>
              <w:pStyle w:val="Compact"/>
              <w:jc w:val="center"/>
            </w:pPr>
            <w:r>
              <w:t xml:space="preserve">0.03</w:t>
            </w:r>
          </w:p>
        </w:tc>
      </w:tr>
      <w:tr>
        <w:tc>
          <w:tcPr/>
          <w:p>
            <w:pPr>
              <w:pStyle w:val="Compact"/>
              <w:jc w:val="left"/>
            </w:pPr>
            <w:r>
              <w:t xml:space="preserve">CT.PM</w:t>
            </w:r>
          </w:p>
        </w:tc>
        <w:tc>
          <w:tcPr/>
          <w:p>
            <w:pPr>
              <w:pStyle w:val="Compact"/>
              <w:jc w:val="center"/>
            </w:pPr>
            <w:r>
              <w:t xml:space="preserve">89.90 ± 6.98</w:t>
            </w:r>
          </w:p>
        </w:tc>
        <w:tc>
          <w:tcPr/>
          <w:p>
            <w:pPr>
              <w:pStyle w:val="Compact"/>
              <w:jc w:val="center"/>
            </w:pPr>
            <w:r>
              <w:t xml:space="preserve">90.01 ± 7.75</w:t>
            </w:r>
          </w:p>
        </w:tc>
        <w:tc>
          <w:tcPr/>
          <w:p>
            <w:pPr>
              <w:pStyle w:val="Compact"/>
              <w:jc w:val="center"/>
            </w:pPr>
            <w:r>
              <w:t xml:space="preserve">-0.1%</w:t>
            </w:r>
          </w:p>
        </w:tc>
        <w:tc>
          <w:tcPr/>
          <w:p>
            <w:pPr>
              <w:pStyle w:val="Compact"/>
              <w:jc w:val="center"/>
            </w:pPr>
            <w:r>
              <w:t xml:space="preserve">0.910</w:t>
            </w:r>
          </w:p>
        </w:tc>
        <w:tc>
          <w:tcPr/>
          <w:p>
            <w:pPr>
              <w:pStyle w:val="Compact"/>
              <w:jc w:val="center"/>
            </w:pPr>
            <w:r>
              <w:t xml:space="preserve">0.02</w:t>
            </w:r>
          </w:p>
        </w:tc>
      </w:tr>
      <w:tr>
        <w:tc>
          <w:tcPr/>
          <w:p>
            <w:pPr>
              <w:pStyle w:val="Compact"/>
              <w:jc w:val="left"/>
            </w:pPr>
            <w:r>
              <w:t xml:space="preserve">CT.AR</w:t>
            </w:r>
          </w:p>
        </w:tc>
        <w:tc>
          <w:tcPr/>
          <w:p>
            <w:pPr>
              <w:pStyle w:val="Compact"/>
              <w:jc w:val="center"/>
            </w:pPr>
            <w:r>
              <w:t xml:space="preserve">104.49 ± 18.08</w:t>
            </w:r>
          </w:p>
        </w:tc>
        <w:tc>
          <w:tcPr/>
          <w:p>
            <w:pPr>
              <w:pStyle w:val="Compact"/>
              <w:jc w:val="center"/>
            </w:pPr>
            <w:r>
              <w:t xml:space="preserve">109.63 ± 19.55</w:t>
            </w:r>
          </w:p>
        </w:tc>
        <w:tc>
          <w:tcPr/>
          <w:p>
            <w:pPr>
              <w:pStyle w:val="Compact"/>
              <w:jc w:val="center"/>
            </w:pPr>
            <w:r>
              <w:t xml:space="preserve">-4.7%</w:t>
            </w:r>
          </w:p>
        </w:tc>
        <w:tc>
          <w:tcPr/>
          <w:p>
            <w:pPr>
              <w:pStyle w:val="Compact"/>
              <w:jc w:val="center"/>
            </w:pPr>
            <w:r>
              <w:rPr>
                <w:b/>
                <w:bCs/>
              </w:rPr>
              <w:t xml:space="preserve">0.049</w:t>
            </w:r>
          </w:p>
        </w:tc>
        <w:tc>
          <w:tcPr/>
          <w:p>
            <w:pPr>
              <w:pStyle w:val="Compact"/>
              <w:jc w:val="center"/>
            </w:pPr>
            <w:r>
              <w:t xml:space="preserve">0.27</w:t>
            </w:r>
          </w:p>
        </w:tc>
      </w:tr>
      <w:tr>
        <w:tc>
          <w:tcPr/>
          <w:p>
            <w:pPr>
              <w:pStyle w:val="Compact"/>
              <w:jc w:val="left"/>
            </w:pPr>
            <w:r>
              <w:t xml:space="preserve">TB.AR</w:t>
            </w:r>
          </w:p>
        </w:tc>
        <w:tc>
          <w:tcPr/>
          <w:p>
            <w:pPr>
              <w:pStyle w:val="Compact"/>
              <w:jc w:val="center"/>
            </w:pPr>
            <w:r>
              <w:t xml:space="preserve">437.54 ± 80.25</w:t>
            </w:r>
          </w:p>
        </w:tc>
        <w:tc>
          <w:tcPr/>
          <w:p>
            <w:pPr>
              <w:pStyle w:val="Compact"/>
              <w:jc w:val="center"/>
            </w:pPr>
            <w:r>
              <w:t xml:space="preserve">429.73 ± 90.44</w:t>
            </w:r>
          </w:p>
        </w:tc>
        <w:tc>
          <w:tcPr/>
          <w:p>
            <w:pPr>
              <w:pStyle w:val="Compact"/>
              <w:jc w:val="center"/>
            </w:pPr>
            <w:r>
              <w:t xml:space="preserve">1.8%</w:t>
            </w:r>
          </w:p>
        </w:tc>
        <w:tc>
          <w:tcPr/>
          <w:p>
            <w:pPr>
              <w:pStyle w:val="Compact"/>
              <w:jc w:val="center"/>
            </w:pPr>
            <w:r>
              <w:t xml:space="preserve">0.509</w:t>
            </w:r>
          </w:p>
        </w:tc>
        <w:tc>
          <w:tcPr/>
          <w:p>
            <w:pPr>
              <w:pStyle w:val="Compact"/>
              <w:jc w:val="center"/>
            </w:pPr>
            <w:r>
              <w:t xml:space="preserve">0.09</w:t>
            </w:r>
          </w:p>
        </w:tc>
      </w:tr>
      <w:tr>
        <w:tc>
          <w:tcPr/>
          <w:p>
            <w:pPr>
              <w:pStyle w:val="Compact"/>
              <w:jc w:val="left"/>
            </w:pPr>
            <w:r>
              <w:t xml:space="preserve">TB.META.AR</w:t>
            </w:r>
          </w:p>
        </w:tc>
        <w:tc>
          <w:tcPr/>
          <w:p>
            <w:pPr>
              <w:pStyle w:val="Compact"/>
              <w:jc w:val="center"/>
            </w:pPr>
            <w:r>
              <w:t xml:space="preserve">176.67 ± 32.25</w:t>
            </w:r>
          </w:p>
        </w:tc>
        <w:tc>
          <w:tcPr/>
          <w:p>
            <w:pPr>
              <w:pStyle w:val="Compact"/>
              <w:jc w:val="center"/>
            </w:pPr>
            <w:r>
              <w:t xml:space="preserve">173.75 ± 36.65</w:t>
            </w:r>
          </w:p>
        </w:tc>
        <w:tc>
          <w:tcPr/>
          <w:p>
            <w:pPr>
              <w:pStyle w:val="Compact"/>
              <w:jc w:val="center"/>
            </w:pPr>
            <w:r>
              <w:t xml:space="preserve">1.7%</w:t>
            </w:r>
          </w:p>
        </w:tc>
        <w:tc>
          <w:tcPr/>
          <w:p>
            <w:pPr>
              <w:pStyle w:val="Compact"/>
              <w:jc w:val="center"/>
            </w:pPr>
            <w:r>
              <w:t xml:space="preserve">0.540</w:t>
            </w:r>
          </w:p>
        </w:tc>
        <w:tc>
          <w:tcPr/>
          <w:p>
            <w:pPr>
              <w:pStyle w:val="Compact"/>
              <w:jc w:val="center"/>
            </w:pPr>
            <w:r>
              <w:t xml:space="preserve">0.09</w:t>
            </w:r>
          </w:p>
        </w:tc>
      </w:tr>
      <w:tr>
        <w:tc>
          <w:tcPr/>
          <w:p>
            <w:pPr>
              <w:pStyle w:val="Compact"/>
              <w:jc w:val="left"/>
            </w:pPr>
            <w:r>
              <w:t xml:space="preserve">TB.INN.AR</w:t>
            </w:r>
          </w:p>
        </w:tc>
        <w:tc>
          <w:tcPr/>
          <w:p>
            <w:pPr>
              <w:pStyle w:val="Compact"/>
              <w:jc w:val="center"/>
            </w:pPr>
            <w:r>
              <w:t xml:space="preserve">260.86 ± 47.99</w:t>
            </w:r>
          </w:p>
        </w:tc>
        <w:tc>
          <w:tcPr/>
          <w:p>
            <w:pPr>
              <w:pStyle w:val="Compact"/>
              <w:jc w:val="center"/>
            </w:pPr>
            <w:r>
              <w:t xml:space="preserve">256.62 ± 54.51</w:t>
            </w:r>
          </w:p>
        </w:tc>
        <w:tc>
          <w:tcPr/>
          <w:p>
            <w:pPr>
              <w:pStyle w:val="Compact"/>
              <w:jc w:val="center"/>
            </w:pPr>
            <w:r>
              <w:t xml:space="preserve">1.7%</w:t>
            </w:r>
          </w:p>
        </w:tc>
        <w:tc>
          <w:tcPr/>
          <w:p>
            <w:pPr>
              <w:pStyle w:val="Compact"/>
              <w:jc w:val="center"/>
            </w:pPr>
            <w:r>
              <w:t xml:space="preserve">0.550</w:t>
            </w:r>
          </w:p>
        </w:tc>
        <w:tc>
          <w:tcPr/>
          <w:p>
            <w:pPr>
              <w:pStyle w:val="Compact"/>
              <w:jc w:val="center"/>
            </w:pPr>
            <w:r>
              <w:t xml:space="preserve">0.08</w:t>
            </w:r>
          </w:p>
        </w:tc>
      </w:tr>
      <w:tr>
        <w:tc>
          <w:tcPr/>
          <w:p>
            <w:pPr>
              <w:pStyle w:val="Compact"/>
              <w:jc w:val="left"/>
            </w:pPr>
            <w:r>
              <w:t xml:space="preserve">ttvBMD</w:t>
            </w:r>
          </w:p>
        </w:tc>
        <w:tc>
          <w:tcPr/>
          <w:p>
            <w:pPr>
              <w:pStyle w:val="Compact"/>
              <w:jc w:val="center"/>
            </w:pPr>
            <w:r>
              <w:t xml:space="preserve">252.89 ± 51.03</w:t>
            </w:r>
          </w:p>
        </w:tc>
        <w:tc>
          <w:tcPr/>
          <w:p>
            <w:pPr>
              <w:pStyle w:val="Compact"/>
              <w:jc w:val="center"/>
            </w:pPr>
            <w:r>
              <w:t xml:space="preserve">269.10 ± 54.26</w:t>
            </w:r>
          </w:p>
        </w:tc>
        <w:tc>
          <w:tcPr/>
          <w:p>
            <w:pPr>
              <w:pStyle w:val="Compact"/>
              <w:jc w:val="center"/>
            </w:pPr>
            <w:r>
              <w:t xml:space="preserve">-6.0%</w:t>
            </w:r>
          </w:p>
        </w:tc>
        <w:tc>
          <w:tcPr/>
          <w:p>
            <w:pPr>
              <w:pStyle w:val="Compact"/>
              <w:jc w:val="center"/>
            </w:pPr>
            <w:r>
              <w:rPr>
                <w:b/>
                <w:bCs/>
              </w:rPr>
              <w:t xml:space="preserve">0.026</w:t>
            </w:r>
          </w:p>
        </w:tc>
        <w:tc>
          <w:tcPr/>
          <w:p>
            <w:pPr>
              <w:pStyle w:val="Compact"/>
              <w:jc w:val="center"/>
            </w:pPr>
            <w:r>
              <w:t xml:space="preserve">0.31</w:t>
            </w:r>
          </w:p>
        </w:tc>
      </w:tr>
      <w:tr>
        <w:tc>
          <w:tcPr/>
          <w:p>
            <w:pPr>
              <w:pStyle w:val="Compact"/>
              <w:jc w:val="left"/>
            </w:pPr>
            <w:r>
              <w:t xml:space="preserve">tbvBMD</w:t>
            </w:r>
          </w:p>
        </w:tc>
        <w:tc>
          <w:tcPr/>
          <w:p>
            <w:pPr>
              <w:pStyle w:val="Compact"/>
              <w:jc w:val="center"/>
            </w:pPr>
            <w:r>
              <w:t xml:space="preserve">97.11 ± 34.40</w:t>
            </w:r>
          </w:p>
        </w:tc>
        <w:tc>
          <w:tcPr/>
          <w:p>
            <w:pPr>
              <w:pStyle w:val="Compact"/>
              <w:jc w:val="center"/>
            </w:pPr>
            <w:r>
              <w:t xml:space="preserve">104.70 ± 32.18</w:t>
            </w:r>
          </w:p>
        </w:tc>
        <w:tc>
          <w:tcPr/>
          <w:p>
            <w:pPr>
              <w:pStyle w:val="Compact"/>
              <w:jc w:val="center"/>
            </w:pPr>
            <w:r>
              <w:t xml:space="preserve">-7.2%</w:t>
            </w:r>
          </w:p>
        </w:tc>
        <w:tc>
          <w:tcPr/>
          <w:p>
            <w:pPr>
              <w:pStyle w:val="Compact"/>
              <w:jc w:val="center"/>
            </w:pPr>
            <w:r>
              <w:t xml:space="preserve">0.097</w:t>
            </w:r>
          </w:p>
        </w:tc>
        <w:tc>
          <w:tcPr/>
          <w:p>
            <w:pPr>
              <w:pStyle w:val="Compact"/>
              <w:jc w:val="center"/>
            </w:pPr>
            <w:r>
              <w:t xml:space="preserve">0.23</w:t>
            </w:r>
          </w:p>
        </w:tc>
      </w:tr>
      <w:tr>
        <w:tc>
          <w:tcPr/>
          <w:p>
            <w:pPr>
              <w:pStyle w:val="Compact"/>
              <w:jc w:val="left"/>
            </w:pPr>
            <w:r>
              <w:t xml:space="preserve">TbMeta.v.BMD</w:t>
            </w:r>
          </w:p>
        </w:tc>
        <w:tc>
          <w:tcPr/>
          <w:p>
            <w:pPr>
              <w:pStyle w:val="Compact"/>
              <w:jc w:val="center"/>
            </w:pPr>
            <w:r>
              <w:t xml:space="preserve">175.17 ± 39.19</w:t>
            </w:r>
          </w:p>
        </w:tc>
        <w:tc>
          <w:tcPr/>
          <w:p>
            <w:pPr>
              <w:pStyle w:val="Compact"/>
              <w:jc w:val="center"/>
            </w:pPr>
            <w:r>
              <w:t xml:space="preserve">180.73 ± 37.61</w:t>
            </w:r>
          </w:p>
        </w:tc>
        <w:tc>
          <w:tcPr/>
          <w:p>
            <w:pPr>
              <w:pStyle w:val="Compact"/>
              <w:jc w:val="center"/>
            </w:pPr>
            <w:r>
              <w:t xml:space="preserve">-3.1%</w:t>
            </w:r>
          </w:p>
        </w:tc>
        <w:tc>
          <w:tcPr/>
          <w:p>
            <w:pPr>
              <w:pStyle w:val="Compact"/>
              <w:jc w:val="center"/>
            </w:pPr>
            <w:r>
              <w:t xml:space="preserve">0.292</w:t>
            </w:r>
          </w:p>
        </w:tc>
        <w:tc>
          <w:tcPr/>
          <w:p>
            <w:pPr>
              <w:pStyle w:val="Compact"/>
              <w:jc w:val="center"/>
            </w:pPr>
            <w:r>
              <w:t xml:space="preserve">0.14</w:t>
            </w:r>
          </w:p>
        </w:tc>
      </w:tr>
      <w:tr>
        <w:tc>
          <w:tcPr/>
          <w:p>
            <w:pPr>
              <w:pStyle w:val="Compact"/>
              <w:jc w:val="left"/>
            </w:pPr>
            <w:r>
              <w:t xml:space="preserve">Tb.inn.BMD</w:t>
            </w:r>
          </w:p>
        </w:tc>
        <w:tc>
          <w:tcPr/>
          <w:p>
            <w:pPr>
              <w:pStyle w:val="Compact"/>
              <w:jc w:val="center"/>
            </w:pPr>
            <w:r>
              <w:t xml:space="preserve">44.23 ± 34.13</w:t>
            </w:r>
          </w:p>
        </w:tc>
        <w:tc>
          <w:tcPr/>
          <w:p>
            <w:pPr>
              <w:pStyle w:val="Compact"/>
              <w:jc w:val="center"/>
            </w:pPr>
            <w:r>
              <w:t xml:space="preserve">53.18 ± 31.70</w:t>
            </w:r>
          </w:p>
        </w:tc>
        <w:tc>
          <w:tcPr/>
          <w:p>
            <w:pPr>
              <w:pStyle w:val="Compact"/>
              <w:jc w:val="center"/>
            </w:pPr>
            <w:r>
              <w:t xml:space="preserve">-16.8%</w:t>
            </w:r>
          </w:p>
        </w:tc>
        <w:tc>
          <w:tcPr/>
          <w:p>
            <w:pPr>
              <w:pStyle w:val="Compact"/>
              <w:jc w:val="center"/>
            </w:pPr>
            <w:r>
              <w:rPr>
                <w:b/>
                <w:bCs/>
              </w:rPr>
              <w:t xml:space="preserve">0.048</w:t>
            </w:r>
          </w:p>
        </w:tc>
        <w:tc>
          <w:tcPr/>
          <w:p>
            <w:pPr>
              <w:pStyle w:val="Compact"/>
              <w:jc w:val="center"/>
            </w:pPr>
            <w:r>
              <w:t xml:space="preserve">0.27</w:t>
            </w:r>
          </w:p>
        </w:tc>
      </w:tr>
      <w:tr>
        <w:tc>
          <w:tcPr/>
          <w:p>
            <w:pPr>
              <w:pStyle w:val="Compact"/>
              <w:jc w:val="left"/>
            </w:pPr>
            <w:r>
              <w:t xml:space="preserve">CTvBMD</w:t>
            </w:r>
          </w:p>
        </w:tc>
        <w:tc>
          <w:tcPr/>
          <w:p>
            <w:pPr>
              <w:pStyle w:val="Compact"/>
              <w:jc w:val="center"/>
            </w:pPr>
            <w:r>
              <w:t xml:space="preserve">895.22 ± 65.86</w:t>
            </w:r>
          </w:p>
        </w:tc>
        <w:tc>
          <w:tcPr/>
          <w:p>
            <w:pPr>
              <w:pStyle w:val="Compact"/>
              <w:jc w:val="center"/>
            </w:pPr>
            <w:r>
              <w:t xml:space="preserve">905.09 ± 71.37</w:t>
            </w:r>
          </w:p>
        </w:tc>
        <w:tc>
          <w:tcPr/>
          <w:p>
            <w:pPr>
              <w:pStyle w:val="Compact"/>
              <w:jc w:val="center"/>
            </w:pPr>
            <w:r>
              <w:t xml:space="preserve">-1.1%</w:t>
            </w:r>
          </w:p>
        </w:tc>
        <w:tc>
          <w:tcPr/>
          <w:p>
            <w:pPr>
              <w:pStyle w:val="Compact"/>
              <w:jc w:val="center"/>
            </w:pPr>
            <w:r>
              <w:t xml:space="preserve">0.298</w:t>
            </w:r>
          </w:p>
        </w:tc>
        <w:tc>
          <w:tcPr/>
          <w:p>
            <w:pPr>
              <w:pStyle w:val="Compact"/>
              <w:jc w:val="center"/>
            </w:pPr>
            <w:r>
              <w:t xml:space="preserve">0.14</w:t>
            </w:r>
          </w:p>
        </w:tc>
      </w:tr>
      <w:tr>
        <w:tc>
          <w:tcPr/>
          <w:p>
            <w:pPr>
              <w:pStyle w:val="Compact"/>
              <w:jc w:val="left"/>
            </w:pPr>
            <w:r>
              <w:t xml:space="preserve">BV/TV</w:t>
            </w:r>
          </w:p>
        </w:tc>
        <w:tc>
          <w:tcPr/>
          <w:p>
            <w:pPr>
              <w:pStyle w:val="Compact"/>
              <w:jc w:val="center"/>
            </w:pPr>
            <w:r>
              <w:t xml:space="preserve">0.16 ± 0.06</w:t>
            </w:r>
          </w:p>
        </w:tc>
        <w:tc>
          <w:tcPr/>
          <w:p>
            <w:pPr>
              <w:pStyle w:val="Compact"/>
              <w:jc w:val="center"/>
            </w:pPr>
            <w:r>
              <w:t xml:space="preserve">0.17 ± 0.04</w:t>
            </w:r>
          </w:p>
        </w:tc>
        <w:tc>
          <w:tcPr/>
          <w:p>
            <w:pPr>
              <w:pStyle w:val="Compact"/>
              <w:jc w:val="center"/>
            </w:pPr>
            <w:r>
              <w:t xml:space="preserve">-2.0%</w:t>
            </w:r>
          </w:p>
        </w:tc>
        <w:tc>
          <w:tcPr/>
          <w:p>
            <w:pPr>
              <w:pStyle w:val="Compact"/>
              <w:jc w:val="center"/>
            </w:pPr>
            <w:r>
              <w:t xml:space="preserve">0.637</w:t>
            </w:r>
          </w:p>
        </w:tc>
        <w:tc>
          <w:tcPr/>
          <w:p>
            <w:pPr>
              <w:pStyle w:val="Compact"/>
              <w:jc w:val="center"/>
            </w:pPr>
            <w:r>
              <w:t xml:space="preserve">0.06</w:t>
            </w:r>
          </w:p>
        </w:tc>
      </w:tr>
      <w:tr>
        <w:tc>
          <w:tcPr/>
          <w:p>
            <w:pPr>
              <w:pStyle w:val="Compact"/>
              <w:jc w:val="left"/>
            </w:pPr>
            <w:r>
              <w:t xml:space="preserve">TB.N</w:t>
            </w:r>
          </w:p>
        </w:tc>
        <w:tc>
          <w:tcPr/>
          <w:p>
            <w:pPr>
              <w:pStyle w:val="Compact"/>
              <w:jc w:val="center"/>
            </w:pPr>
            <w:r>
              <w:t xml:space="preserve">0.83 ± 0.23</w:t>
            </w:r>
          </w:p>
        </w:tc>
        <w:tc>
          <w:tcPr/>
          <w:p>
            <w:pPr>
              <w:pStyle w:val="Compact"/>
              <w:jc w:val="center"/>
            </w:pPr>
            <w:r>
              <w:t xml:space="preserve">0.91 ± 0.19</w:t>
            </w:r>
          </w:p>
        </w:tc>
        <w:tc>
          <w:tcPr/>
          <w:p>
            <w:pPr>
              <w:pStyle w:val="Compact"/>
              <w:jc w:val="center"/>
            </w:pPr>
            <w:r>
              <w:t xml:space="preserve">-9.3%</w:t>
            </w:r>
          </w:p>
        </w:tc>
        <w:tc>
          <w:tcPr/>
          <w:p>
            <w:pPr>
              <w:pStyle w:val="Compact"/>
              <w:jc w:val="center"/>
            </w:pPr>
            <w:r>
              <w:rPr>
                <w:b/>
                <w:bCs/>
              </w:rPr>
              <w:t xml:space="preserve">0.003</w:t>
            </w:r>
          </w:p>
        </w:tc>
        <w:tc>
          <w:tcPr/>
          <w:p>
            <w:pPr>
              <w:pStyle w:val="Compact"/>
              <w:jc w:val="center"/>
            </w:pPr>
            <w:r>
              <w:t xml:space="preserve">0.40</w:t>
            </w:r>
          </w:p>
        </w:tc>
      </w:tr>
      <w:tr>
        <w:tc>
          <w:tcPr/>
          <w:p>
            <w:pPr>
              <w:pStyle w:val="Compact"/>
              <w:jc w:val="left"/>
            </w:pPr>
            <w:r>
              <w:t xml:space="preserve">TB.TH</w:t>
            </w:r>
          </w:p>
        </w:tc>
        <w:tc>
          <w:tcPr/>
          <w:p>
            <w:pPr>
              <w:pStyle w:val="Compact"/>
              <w:jc w:val="center"/>
            </w:pPr>
            <w:r>
              <w:t xml:space="preserve">0.26 ± 0.03</w:t>
            </w:r>
          </w:p>
        </w:tc>
        <w:tc>
          <w:tcPr/>
          <w:p>
            <w:pPr>
              <w:pStyle w:val="Compact"/>
              <w:jc w:val="center"/>
            </w:pPr>
            <w:r>
              <w:t xml:space="preserve">0.25 ± 0.02</w:t>
            </w:r>
          </w:p>
        </w:tc>
        <w:tc>
          <w:tcPr/>
          <w:p>
            <w:pPr>
              <w:pStyle w:val="Compact"/>
              <w:jc w:val="center"/>
            </w:pPr>
            <w:r>
              <w:t xml:space="preserve">1.9%</w:t>
            </w:r>
          </w:p>
        </w:tc>
        <w:tc>
          <w:tcPr/>
          <w:p>
            <w:pPr>
              <w:pStyle w:val="Compact"/>
              <w:jc w:val="center"/>
            </w:pPr>
            <w:r>
              <w:t xml:space="preserve">0.155</w:t>
            </w:r>
          </w:p>
        </w:tc>
        <w:tc>
          <w:tcPr/>
          <w:p>
            <w:pPr>
              <w:pStyle w:val="Compact"/>
              <w:jc w:val="center"/>
            </w:pPr>
            <w:r>
              <w:t xml:space="preserve">0.19</w:t>
            </w:r>
          </w:p>
        </w:tc>
      </w:tr>
      <w:tr>
        <w:tc>
          <w:tcPr/>
          <w:p>
            <w:pPr>
              <w:pStyle w:val="Compact"/>
              <w:jc w:val="left"/>
            </w:pPr>
            <w:r>
              <w:t xml:space="preserve">TB.SP</w:t>
            </w:r>
          </w:p>
        </w:tc>
        <w:tc>
          <w:tcPr/>
          <w:p>
            <w:pPr>
              <w:pStyle w:val="Compact"/>
              <w:jc w:val="center"/>
            </w:pPr>
            <w:r>
              <w:t xml:space="preserve">1.38 ± 0.72</w:t>
            </w:r>
          </w:p>
        </w:tc>
        <w:tc>
          <w:tcPr/>
          <w:p>
            <w:pPr>
              <w:pStyle w:val="Compact"/>
              <w:jc w:val="center"/>
            </w:pPr>
            <w:r>
              <w:t xml:space="preserve">1.15 ± 0.34</w:t>
            </w:r>
          </w:p>
        </w:tc>
        <w:tc>
          <w:tcPr/>
          <w:p>
            <w:pPr>
              <w:pStyle w:val="Compact"/>
              <w:jc w:val="center"/>
            </w:pPr>
            <w:r>
              <w:t xml:space="preserve">19.6%</w:t>
            </w:r>
          </w:p>
        </w:tc>
        <w:tc>
          <w:tcPr/>
          <w:p>
            <w:pPr>
              <w:pStyle w:val="Compact"/>
              <w:jc w:val="center"/>
            </w:pPr>
            <w:r>
              <w:rPr>
                <w:b/>
                <w:bCs/>
              </w:rPr>
              <w:t xml:space="preserve">0.003</w:t>
            </w:r>
          </w:p>
        </w:tc>
        <w:tc>
          <w:tcPr/>
          <w:p>
            <w:pPr>
              <w:pStyle w:val="Compact"/>
              <w:jc w:val="center"/>
            </w:pPr>
            <w:r>
              <w:t xml:space="preserve">0.39</w:t>
            </w:r>
          </w:p>
        </w:tc>
      </w:tr>
      <w:tr>
        <w:tc>
          <w:tcPr/>
          <w:p>
            <w:pPr>
              <w:pStyle w:val="Compact"/>
              <w:jc w:val="left"/>
            </w:pPr>
            <w:r>
              <w:t xml:space="preserve">TB.1/N.SD</w:t>
            </w:r>
          </w:p>
        </w:tc>
        <w:tc>
          <w:tcPr/>
          <w:p>
            <w:pPr>
              <w:pStyle w:val="Compact"/>
              <w:jc w:val="center"/>
            </w:pPr>
            <w:r>
              <w:t xml:space="preserve">0.82 ± 0.81</w:t>
            </w:r>
          </w:p>
        </w:tc>
        <w:tc>
          <w:tcPr/>
          <w:p>
            <w:pPr>
              <w:pStyle w:val="Compact"/>
              <w:jc w:val="center"/>
            </w:pPr>
            <w:r>
              <w:t xml:space="preserve">0.57 ± 0.43</w:t>
            </w:r>
          </w:p>
        </w:tc>
        <w:tc>
          <w:tcPr/>
          <w:p>
            <w:pPr>
              <w:pStyle w:val="Compact"/>
              <w:jc w:val="center"/>
            </w:pPr>
            <w:r>
              <w:t xml:space="preserve">42.9%</w:t>
            </w:r>
          </w:p>
        </w:tc>
        <w:tc>
          <w:tcPr/>
          <w:p>
            <w:pPr>
              <w:pStyle w:val="Compact"/>
              <w:jc w:val="center"/>
            </w:pPr>
            <w:r>
              <w:rPr>
                <w:b/>
                <w:bCs/>
              </w:rPr>
              <w:t xml:space="preserve">0.005</w:t>
            </w:r>
          </w:p>
        </w:tc>
        <w:tc>
          <w:tcPr/>
          <w:p>
            <w:pPr>
              <w:pStyle w:val="Compact"/>
              <w:jc w:val="center"/>
            </w:pPr>
            <w:r>
              <w:t xml:space="preserve">0.37</w:t>
            </w:r>
          </w:p>
        </w:tc>
      </w:tr>
      <w:tr>
        <w:tc>
          <w:tcPr/>
          <w:p>
            <w:pPr>
              <w:pStyle w:val="Compact"/>
              <w:jc w:val="left"/>
            </w:pPr>
            <w:r>
              <w:t xml:space="preserve">CT.TH</w:t>
            </w:r>
          </w:p>
        </w:tc>
        <w:tc>
          <w:tcPr/>
          <w:p>
            <w:pPr>
              <w:pStyle w:val="Compact"/>
              <w:jc w:val="center"/>
            </w:pPr>
            <w:r>
              <w:t xml:space="preserve">1.37 ± 0.24</w:t>
            </w:r>
          </w:p>
        </w:tc>
        <w:tc>
          <w:tcPr/>
          <w:p>
            <w:pPr>
              <w:pStyle w:val="Compact"/>
              <w:jc w:val="center"/>
            </w:pPr>
            <w:r>
              <w:t xml:space="preserve">1.44 ± 0.24</w:t>
            </w:r>
          </w:p>
        </w:tc>
        <w:tc>
          <w:tcPr/>
          <w:p>
            <w:pPr>
              <w:pStyle w:val="Compact"/>
              <w:jc w:val="center"/>
            </w:pPr>
            <w:r>
              <w:t xml:space="preserve">-4.4%</w:t>
            </w:r>
          </w:p>
        </w:tc>
        <w:tc>
          <w:tcPr/>
          <w:p>
            <w:pPr>
              <w:pStyle w:val="Compact"/>
              <w:jc w:val="center"/>
            </w:pPr>
            <w:r>
              <w:t xml:space="preserve">0.059</w:t>
            </w:r>
          </w:p>
        </w:tc>
        <w:tc>
          <w:tcPr/>
          <w:p>
            <w:pPr>
              <w:pStyle w:val="Compact"/>
              <w:jc w:val="center"/>
            </w:pPr>
            <w:r>
              <w:t xml:space="preserve">0.26</w:t>
            </w:r>
          </w:p>
        </w:tc>
      </w:tr>
      <w:tr>
        <w:tc>
          <w:tcPr/>
          <w:p>
            <w:pPr>
              <w:pStyle w:val="Compact"/>
              <w:jc w:val="left"/>
            </w:pPr>
            <w:r>
              <w:t xml:space="preserve">CT.PO</w:t>
            </w:r>
          </w:p>
        </w:tc>
        <w:tc>
          <w:tcPr/>
          <w:p>
            <w:pPr>
              <w:pStyle w:val="Compact"/>
              <w:jc w:val="center"/>
            </w:pPr>
            <w:r>
              <w:t xml:space="preserve">0.03 ± 0.06</w:t>
            </w:r>
          </w:p>
        </w:tc>
        <w:tc>
          <w:tcPr/>
          <w:p>
            <w:pPr>
              <w:pStyle w:val="Compact"/>
              <w:jc w:val="center"/>
            </w:pPr>
            <w:r>
              <w:t xml:space="preserve">0.04 ± 0.10</w:t>
            </w:r>
          </w:p>
        </w:tc>
        <w:tc>
          <w:tcPr/>
          <w:p>
            <w:pPr>
              <w:pStyle w:val="Compact"/>
              <w:jc w:val="center"/>
            </w:pPr>
            <w:r>
              <w:t xml:space="preserve">-14.6%</w:t>
            </w:r>
          </w:p>
        </w:tc>
        <w:tc>
          <w:tcPr/>
          <w:p>
            <w:pPr>
              <w:pStyle w:val="Compact"/>
              <w:jc w:val="center"/>
            </w:pPr>
            <w:r>
              <w:t xml:space="preserve">0.631</w:t>
            </w:r>
          </w:p>
        </w:tc>
        <w:tc>
          <w:tcPr/>
          <w:p>
            <w:pPr>
              <w:pStyle w:val="Compact"/>
              <w:jc w:val="center"/>
            </w:pPr>
            <w:r>
              <w:t xml:space="preserve">0.07</w:t>
            </w:r>
          </w:p>
        </w:tc>
      </w:tr>
      <w:tr>
        <w:tc>
          <w:tcPr/>
          <w:p>
            <w:pPr>
              <w:pStyle w:val="Compact"/>
              <w:jc w:val="left"/>
            </w:pPr>
            <w:r>
              <w:t xml:space="preserve">CT.PO.DM</w:t>
            </w:r>
          </w:p>
        </w:tc>
        <w:tc>
          <w:tcPr/>
          <w:p>
            <w:pPr>
              <w:pStyle w:val="Compact"/>
              <w:jc w:val="center"/>
            </w:pPr>
            <w:r>
              <w:t xml:space="preserve">0.23 ± 0.03</w:t>
            </w:r>
          </w:p>
        </w:tc>
        <w:tc>
          <w:tcPr/>
          <w:p>
            <w:pPr>
              <w:pStyle w:val="Compact"/>
              <w:jc w:val="center"/>
            </w:pPr>
            <w:r>
              <w:t xml:space="preserve">0.23 ± 0.04</w:t>
            </w:r>
          </w:p>
        </w:tc>
        <w:tc>
          <w:tcPr/>
          <w:p>
            <w:pPr>
              <w:pStyle w:val="Compact"/>
              <w:jc w:val="center"/>
            </w:pPr>
            <w:r>
              <w:t xml:space="preserve">-0.9%</w:t>
            </w:r>
          </w:p>
        </w:tc>
        <w:tc>
          <w:tcPr/>
          <w:p>
            <w:pPr>
              <w:pStyle w:val="Compact"/>
              <w:jc w:val="center"/>
            </w:pPr>
            <w:r>
              <w:t xml:space="preserve">0.696</w:t>
            </w:r>
          </w:p>
        </w:tc>
        <w:tc>
          <w:tcPr/>
          <w:p>
            <w:pPr>
              <w:pStyle w:val="Compact"/>
              <w:jc w:val="center"/>
            </w:pPr>
            <w:r>
              <w:t xml:space="preserve">0.06</w:t>
            </w:r>
          </w:p>
        </w:tc>
      </w:tr>
      <w:tr>
        <w:tc>
          <w:tcPr/>
          <w:p>
            <w:pPr>
              <w:pStyle w:val="Compact"/>
              <w:jc w:val="left"/>
            </w:pPr>
            <w:r>
              <w:t xml:space="preserve">Stiffness</w:t>
            </w:r>
          </w:p>
        </w:tc>
        <w:tc>
          <w:tcPr/>
          <w:p>
            <w:pPr>
              <w:pStyle w:val="Compact"/>
              <w:jc w:val="center"/>
            </w:pPr>
            <w:r>
              <w:t xml:space="preserve">126153.23 ± 22874.98</w:t>
            </w:r>
          </w:p>
        </w:tc>
        <w:tc>
          <w:tcPr/>
          <w:p>
            <w:pPr>
              <w:pStyle w:val="Compact"/>
              <w:jc w:val="center"/>
            </w:pPr>
            <w:r>
              <w:t xml:space="preserve">130915.54 ± 26625.37</w:t>
            </w:r>
          </w:p>
        </w:tc>
        <w:tc>
          <w:tcPr/>
          <w:p>
            <w:pPr>
              <w:pStyle w:val="Compact"/>
              <w:jc w:val="center"/>
            </w:pPr>
            <w:r>
              <w:t xml:space="preserve">-3.6%</w:t>
            </w:r>
          </w:p>
        </w:tc>
        <w:tc>
          <w:tcPr/>
          <w:p>
            <w:pPr>
              <w:pStyle w:val="Compact"/>
              <w:jc w:val="center"/>
            </w:pPr>
            <w:r>
              <w:t xml:space="preserve">0.166</w:t>
            </w:r>
          </w:p>
        </w:tc>
        <w:tc>
          <w:tcPr/>
          <w:p>
            <w:pPr>
              <w:pStyle w:val="Compact"/>
              <w:jc w:val="center"/>
            </w:pPr>
            <w:r>
              <w:t xml:space="preserve">0.19</w:t>
            </w:r>
          </w:p>
        </w:tc>
      </w:tr>
      <w:tr>
        <w:tc>
          <w:tcPr/>
          <w:p>
            <w:pPr>
              <w:pStyle w:val="Compact"/>
              <w:jc w:val="left"/>
            </w:pPr>
            <w:r>
              <w:t xml:space="preserve">F.Load</w:t>
            </w:r>
          </w:p>
        </w:tc>
        <w:tc>
          <w:tcPr/>
          <w:p>
            <w:pPr>
              <w:pStyle w:val="Compact"/>
              <w:jc w:val="center"/>
            </w:pPr>
            <w:r>
              <w:t xml:space="preserve">-6901.67 ± 1240.69</w:t>
            </w:r>
          </w:p>
        </w:tc>
        <w:tc>
          <w:tcPr/>
          <w:p>
            <w:pPr>
              <w:pStyle w:val="Compact"/>
              <w:jc w:val="center"/>
            </w:pPr>
            <w:r>
              <w:t xml:space="preserve">-7162.61 ± 1447.54</w:t>
            </w:r>
          </w:p>
        </w:tc>
        <w:tc>
          <w:tcPr/>
          <w:p>
            <w:pPr>
              <w:pStyle w:val="Compact"/>
              <w:jc w:val="center"/>
            </w:pPr>
            <w:r>
              <w:t xml:space="preserve">-3.6%</w:t>
            </w:r>
          </w:p>
        </w:tc>
        <w:tc>
          <w:tcPr/>
          <w:p>
            <w:pPr>
              <w:pStyle w:val="Compact"/>
              <w:jc w:val="center"/>
            </w:pPr>
            <w:r>
              <w:t xml:space="preserve">0.163</w:t>
            </w:r>
          </w:p>
        </w:tc>
        <w:tc>
          <w:tcPr/>
          <w:p>
            <w:pPr>
              <w:pStyle w:val="Compact"/>
              <w:jc w:val="center"/>
            </w:pPr>
            <w:r>
              <w:t xml:space="preserve">0.20</w:t>
            </w:r>
          </w:p>
        </w:tc>
      </w:tr>
    </w:tbl>
    <w:p>
      <w:r>
        <w:pict>
          <v:rect style="width:0;height:1.5pt" o:hralign="center" o:hrstd="t" o:hr="t"/>
        </w:pict>
      </w:r>
    </w:p>
    <w:bookmarkEnd w:id="41"/>
    <w:bookmarkStart w:id="49" w:name="secondary-objective-b-the-t2dm-phenotype"/>
    <w:p>
      <w:pPr>
        <w:pStyle w:val="Heading2"/>
      </w:pPr>
      <w:r>
        <w:t xml:space="preserve">5.3 Secondary Objective B: The T2DM Phenotype</w:t>
      </w:r>
    </w:p>
    <w:p>
      <w:pPr>
        <w:pStyle w:val="FirstParagraph"/>
      </w:pPr>
      <w:r>
        <w:t xml:space="preserve">Subgroup analysis of the osteopenic women with Type 2 Diabetes (</w:t>
      </w:r>
      <m:oMath>
        <m:r>
          <m:t>n</m:t>
        </m:r>
        <m:r>
          <m:rPr>
            <m:sty m:val="p"/>
          </m:rPr>
          <m:t>=</m:t>
        </m:r>
        <m:r>
          <m:t>66</m:t>
        </m:r>
      </m:oMath>
      <w:r>
        <w:t xml:space="preserve">) revealed a distinct phenotypic shift. We tested the hypothesis that diabetes acts as a</w:t>
      </w:r>
      <w:r>
        <w:t xml:space="preserve"> </w:t>
      </w:r>
      <w:r>
        <w:t xml:space="preserve">“Cortical Switch.”</w:t>
      </w:r>
      <w:r>
        <w:t xml:space="preserve"> </w:t>
      </w:r>
      <w:r>
        <w:rPr>
          <w:b/>
          <w:bCs/>
        </w:rPr>
        <w:t xml:space="preserve">However, the data revealed a different reality.</w:t>
      </w:r>
    </w:p>
    <w:p>
      <w:pPr>
        <w:pStyle w:val="BodyText"/>
      </w:pPr>
      <w:r>
        <w:rPr>
          <w:b/>
          <w:bCs/>
        </w:rPr>
        <w:t xml:space="preserve">Table 4: Comprehensive HR-pQCT &amp;</w:t>
      </w:r>
      <w:r>
        <w:rPr>
          <w:b/>
          <w:bCs/>
        </w:rPr>
        <w:t xml:space="preserve"> </w:t>
      </w:r>
      <m:oMath>
        <m:r>
          <m:t>μ</m:t>
        </m:r>
      </m:oMath>
      <w:r>
        <w:rPr>
          <w:b/>
          <w:bCs/>
        </w:rPr>
        <w:t xml:space="preserve">FEA Parameters (Diabetic Osteopenia Sub-cohort)</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Parameter</w:t>
            </w:r>
          </w:p>
        </w:tc>
        <w:tc>
          <w:tcPr/>
          <w:p>
            <w:pPr>
              <w:pStyle w:val="Compact"/>
              <w:jc w:val="center"/>
            </w:pPr>
            <w:r>
              <w:t xml:space="preserve">Fracture</w:t>
            </w:r>
          </w:p>
        </w:tc>
        <w:tc>
          <w:tcPr/>
          <w:p>
            <w:pPr>
              <w:pStyle w:val="Compact"/>
              <w:jc w:val="center"/>
            </w:pPr>
            <w:r>
              <w:t xml:space="preserve">Control</w:t>
            </w:r>
          </w:p>
        </w:tc>
        <w:tc>
          <w:tcPr/>
          <w:p>
            <w:pPr>
              <w:pStyle w:val="Compact"/>
              <w:jc w:val="center"/>
            </w:pPr>
            <w:r>
              <w:t xml:space="preserve">% Diff</w:t>
            </w:r>
          </w:p>
        </w:tc>
        <w:tc>
          <w:tcPr/>
          <w:p>
            <w:pPr>
              <w:pStyle w:val="Compact"/>
              <w:jc w:val="center"/>
            </w:pPr>
            <w:r>
              <w:t xml:space="preserve">P-value</w:t>
            </w:r>
          </w:p>
        </w:tc>
        <w:tc>
          <w:tcPr/>
          <w:p>
            <w:pPr>
              <w:pStyle w:val="Compact"/>
              <w:jc w:val="center"/>
            </w:pPr>
            <w:r>
              <w:t xml:space="preserve">Cohen’s d</w:t>
            </w:r>
          </w:p>
        </w:tc>
      </w:tr>
      <w:tr>
        <w:tc>
          <w:tcPr/>
          <w:p>
            <w:pPr>
              <w:pStyle w:val="Compact"/>
              <w:jc w:val="left"/>
            </w:pPr>
            <w:r>
              <w:rPr>
                <w:b/>
                <w:bCs/>
              </w:rPr>
              <w:t xml:space="preserve">Distal Radius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TT.AR</w:t>
            </w:r>
          </w:p>
        </w:tc>
        <w:tc>
          <w:tcPr/>
          <w:p>
            <w:pPr>
              <w:pStyle w:val="Compact"/>
              <w:jc w:val="center"/>
            </w:pPr>
            <w:r>
              <w:t xml:space="preserve">233.14 ± 54.52</w:t>
            </w:r>
          </w:p>
        </w:tc>
        <w:tc>
          <w:tcPr/>
          <w:p>
            <w:pPr>
              <w:pStyle w:val="Compact"/>
              <w:jc w:val="center"/>
            </w:pPr>
            <w:r>
              <w:t xml:space="preserve">219.98 ± 38.25</w:t>
            </w:r>
          </w:p>
        </w:tc>
        <w:tc>
          <w:tcPr/>
          <w:p>
            <w:pPr>
              <w:pStyle w:val="Compact"/>
              <w:jc w:val="center"/>
            </w:pPr>
            <w:r>
              <w:t xml:space="preserve">6.0%</w:t>
            </w:r>
          </w:p>
        </w:tc>
        <w:tc>
          <w:tcPr/>
          <w:p>
            <w:pPr>
              <w:pStyle w:val="Compact"/>
              <w:jc w:val="center"/>
            </w:pPr>
            <w:r>
              <w:t xml:space="preserve">0.259</w:t>
            </w:r>
          </w:p>
        </w:tc>
        <w:tc>
          <w:tcPr/>
          <w:p>
            <w:pPr>
              <w:pStyle w:val="Compact"/>
              <w:jc w:val="center"/>
            </w:pPr>
            <w:r>
              <w:t xml:space="preserve">0.28</w:t>
            </w:r>
          </w:p>
        </w:tc>
      </w:tr>
      <w:tr>
        <w:tc>
          <w:tcPr/>
          <w:p>
            <w:pPr>
              <w:pStyle w:val="Compact"/>
              <w:jc w:val="left"/>
            </w:pPr>
            <w:r>
              <w:t xml:space="preserve">CT.PM</w:t>
            </w:r>
          </w:p>
        </w:tc>
        <w:tc>
          <w:tcPr/>
          <w:p>
            <w:pPr>
              <w:pStyle w:val="Compact"/>
              <w:jc w:val="center"/>
            </w:pPr>
            <w:r>
              <w:t xml:space="preserve">65.80 ± 12.18</w:t>
            </w:r>
          </w:p>
        </w:tc>
        <w:tc>
          <w:tcPr/>
          <w:p>
            <w:pPr>
              <w:pStyle w:val="Compact"/>
              <w:jc w:val="center"/>
            </w:pPr>
            <w:r>
              <w:t xml:space="preserve">61.93 ± 5.00</w:t>
            </w:r>
          </w:p>
        </w:tc>
        <w:tc>
          <w:tcPr/>
          <w:p>
            <w:pPr>
              <w:pStyle w:val="Compact"/>
              <w:jc w:val="center"/>
            </w:pPr>
            <w:r>
              <w:t xml:space="preserve">6.3%</w:t>
            </w:r>
          </w:p>
        </w:tc>
        <w:tc>
          <w:tcPr/>
          <w:p>
            <w:pPr>
              <w:pStyle w:val="Compact"/>
              <w:jc w:val="center"/>
            </w:pPr>
            <w:r>
              <w:t xml:space="preserve">0.095</w:t>
            </w:r>
          </w:p>
        </w:tc>
        <w:tc>
          <w:tcPr/>
          <w:p>
            <w:pPr>
              <w:pStyle w:val="Compact"/>
              <w:jc w:val="center"/>
            </w:pPr>
            <w:r>
              <w:t xml:space="preserve">0.41</w:t>
            </w:r>
          </w:p>
        </w:tc>
      </w:tr>
      <w:tr>
        <w:tc>
          <w:tcPr/>
          <w:p>
            <w:pPr>
              <w:pStyle w:val="Compact"/>
              <w:jc w:val="left"/>
            </w:pPr>
            <w:r>
              <w:t xml:space="preserve">CT.AR</w:t>
            </w:r>
          </w:p>
        </w:tc>
        <w:tc>
          <w:tcPr/>
          <w:p>
            <w:pPr>
              <w:pStyle w:val="Compact"/>
              <w:jc w:val="center"/>
            </w:pPr>
            <w:r>
              <w:t xml:space="preserve">47.91 ± 14.19</w:t>
            </w:r>
          </w:p>
        </w:tc>
        <w:tc>
          <w:tcPr/>
          <w:p>
            <w:pPr>
              <w:pStyle w:val="Compact"/>
              <w:jc w:val="center"/>
            </w:pPr>
            <w:r>
              <w:t xml:space="preserve">50.61 ± 8.08</w:t>
            </w:r>
          </w:p>
        </w:tc>
        <w:tc>
          <w:tcPr/>
          <w:p>
            <w:pPr>
              <w:pStyle w:val="Compact"/>
              <w:jc w:val="center"/>
            </w:pPr>
            <w:r>
              <w:t xml:space="preserve">-5.3%</w:t>
            </w:r>
          </w:p>
        </w:tc>
        <w:tc>
          <w:tcPr/>
          <w:p>
            <w:pPr>
              <w:pStyle w:val="Compact"/>
              <w:jc w:val="center"/>
            </w:pPr>
            <w:r>
              <w:t xml:space="preserve">0.344</w:t>
            </w:r>
          </w:p>
        </w:tc>
        <w:tc>
          <w:tcPr/>
          <w:p>
            <w:pPr>
              <w:pStyle w:val="Compact"/>
              <w:jc w:val="center"/>
            </w:pPr>
            <w:r>
              <w:t xml:space="preserve">0.23</w:t>
            </w:r>
          </w:p>
        </w:tc>
      </w:tr>
      <w:tr>
        <w:tc>
          <w:tcPr/>
          <w:p>
            <w:pPr>
              <w:pStyle w:val="Compact"/>
              <w:jc w:val="left"/>
            </w:pPr>
            <w:r>
              <w:t xml:space="preserve">TB.AR</w:t>
            </w:r>
          </w:p>
        </w:tc>
        <w:tc>
          <w:tcPr/>
          <w:p>
            <w:pPr>
              <w:pStyle w:val="Compact"/>
              <w:jc w:val="center"/>
            </w:pPr>
            <w:r>
              <w:t xml:space="preserve">187.63 ± 49.38</w:t>
            </w:r>
          </w:p>
        </w:tc>
        <w:tc>
          <w:tcPr/>
          <w:p>
            <w:pPr>
              <w:pStyle w:val="Compact"/>
              <w:jc w:val="center"/>
            </w:pPr>
            <w:r>
              <w:t xml:space="preserve">171.88 ± 39.06</w:t>
            </w:r>
          </w:p>
        </w:tc>
        <w:tc>
          <w:tcPr/>
          <w:p>
            <w:pPr>
              <w:pStyle w:val="Compact"/>
              <w:jc w:val="center"/>
            </w:pPr>
            <w:r>
              <w:t xml:space="preserve">9.2%</w:t>
            </w:r>
          </w:p>
        </w:tc>
        <w:tc>
          <w:tcPr/>
          <w:p>
            <w:pPr>
              <w:pStyle w:val="Compact"/>
              <w:jc w:val="center"/>
            </w:pPr>
            <w:r>
              <w:t xml:space="preserve">0.154</w:t>
            </w:r>
          </w:p>
        </w:tc>
        <w:tc>
          <w:tcPr/>
          <w:p>
            <w:pPr>
              <w:pStyle w:val="Compact"/>
              <w:jc w:val="center"/>
            </w:pPr>
            <w:r>
              <w:t xml:space="preserve">0.35</w:t>
            </w:r>
          </w:p>
        </w:tc>
      </w:tr>
      <w:tr>
        <w:tc>
          <w:tcPr/>
          <w:p>
            <w:pPr>
              <w:pStyle w:val="Compact"/>
              <w:jc w:val="left"/>
            </w:pPr>
            <w:r>
              <w:t xml:space="preserve">TB.META.AR</w:t>
            </w:r>
          </w:p>
        </w:tc>
        <w:tc>
          <w:tcPr/>
          <w:p>
            <w:pPr>
              <w:pStyle w:val="Compact"/>
              <w:jc w:val="center"/>
            </w:pPr>
            <w:r>
              <w:t xml:space="preserve">76.27 ± 19.89</w:t>
            </w:r>
          </w:p>
        </w:tc>
        <w:tc>
          <w:tcPr/>
          <w:p>
            <w:pPr>
              <w:pStyle w:val="Compact"/>
              <w:jc w:val="center"/>
            </w:pPr>
            <w:r>
              <w:t xml:space="preserve">69.96 ± 15.75</w:t>
            </w:r>
          </w:p>
        </w:tc>
        <w:tc>
          <w:tcPr/>
          <w:p>
            <w:pPr>
              <w:pStyle w:val="Compact"/>
              <w:jc w:val="center"/>
            </w:pPr>
            <w:r>
              <w:t xml:space="preserve">9.0%</w:t>
            </w:r>
          </w:p>
        </w:tc>
        <w:tc>
          <w:tcPr/>
          <w:p>
            <w:pPr>
              <w:pStyle w:val="Compact"/>
              <w:jc w:val="center"/>
            </w:pPr>
            <w:r>
              <w:t xml:space="preserve">0.157</w:t>
            </w:r>
          </w:p>
        </w:tc>
        <w:tc>
          <w:tcPr/>
          <w:p>
            <w:pPr>
              <w:pStyle w:val="Compact"/>
              <w:jc w:val="center"/>
            </w:pPr>
            <w:r>
              <w:t xml:space="preserve">0.35</w:t>
            </w:r>
          </w:p>
        </w:tc>
      </w:tr>
      <w:tr>
        <w:tc>
          <w:tcPr/>
          <w:p>
            <w:pPr>
              <w:pStyle w:val="Compact"/>
              <w:jc w:val="left"/>
            </w:pPr>
            <w:r>
              <w:t xml:space="preserve">TB.INN.AR</w:t>
            </w:r>
          </w:p>
        </w:tc>
        <w:tc>
          <w:tcPr/>
          <w:p>
            <w:pPr>
              <w:pStyle w:val="Compact"/>
              <w:jc w:val="center"/>
            </w:pPr>
            <w:r>
              <w:t xml:space="preserve">111.29 ± 29.45</w:t>
            </w:r>
          </w:p>
        </w:tc>
        <w:tc>
          <w:tcPr/>
          <w:p>
            <w:pPr>
              <w:pStyle w:val="Compact"/>
              <w:jc w:val="center"/>
            </w:pPr>
            <w:r>
              <w:t xml:space="preserve">101.92 ± 23.31</w:t>
            </w:r>
          </w:p>
        </w:tc>
        <w:tc>
          <w:tcPr/>
          <w:p>
            <w:pPr>
              <w:pStyle w:val="Compact"/>
              <w:jc w:val="center"/>
            </w:pPr>
            <w:r>
              <w:t xml:space="preserve">9.2%</w:t>
            </w:r>
          </w:p>
        </w:tc>
        <w:tc>
          <w:tcPr/>
          <w:p>
            <w:pPr>
              <w:pStyle w:val="Compact"/>
              <w:jc w:val="center"/>
            </w:pPr>
            <w:r>
              <w:t xml:space="preserve">0.156</w:t>
            </w:r>
          </w:p>
        </w:tc>
        <w:tc>
          <w:tcPr/>
          <w:p>
            <w:pPr>
              <w:pStyle w:val="Compact"/>
              <w:jc w:val="center"/>
            </w:pPr>
            <w:r>
              <w:t xml:space="preserve">0.35</w:t>
            </w:r>
          </w:p>
        </w:tc>
      </w:tr>
      <w:tr>
        <w:tc>
          <w:tcPr/>
          <w:p>
            <w:pPr>
              <w:pStyle w:val="Compact"/>
              <w:jc w:val="left"/>
            </w:pPr>
            <w:r>
              <w:t xml:space="preserve">ttvBMD</w:t>
            </w:r>
          </w:p>
        </w:tc>
        <w:tc>
          <w:tcPr/>
          <w:p>
            <w:pPr>
              <w:pStyle w:val="Compact"/>
              <w:jc w:val="center"/>
            </w:pPr>
            <w:r>
              <w:t xml:space="preserve">254.09 ± 69.22</w:t>
            </w:r>
          </w:p>
        </w:tc>
        <w:tc>
          <w:tcPr/>
          <w:p>
            <w:pPr>
              <w:pStyle w:val="Compact"/>
              <w:jc w:val="center"/>
            </w:pPr>
            <w:r>
              <w:t xml:space="preserve">302.87 ± 69.99</w:t>
            </w:r>
          </w:p>
        </w:tc>
        <w:tc>
          <w:tcPr/>
          <w:p>
            <w:pPr>
              <w:pStyle w:val="Compact"/>
              <w:jc w:val="center"/>
            </w:pPr>
            <w:r>
              <w:t xml:space="preserve">-16.1%</w:t>
            </w:r>
          </w:p>
        </w:tc>
        <w:tc>
          <w:tcPr/>
          <w:p>
            <w:pPr>
              <w:pStyle w:val="Compact"/>
              <w:jc w:val="center"/>
            </w:pPr>
            <w:r>
              <w:rPr>
                <w:b/>
                <w:bCs/>
              </w:rPr>
              <w:t xml:space="preserve">0.006</w:t>
            </w:r>
          </w:p>
        </w:tc>
        <w:tc>
          <w:tcPr/>
          <w:p>
            <w:pPr>
              <w:pStyle w:val="Compact"/>
              <w:jc w:val="center"/>
            </w:pPr>
            <w:r>
              <w:t xml:space="preserve">0.70</w:t>
            </w:r>
          </w:p>
        </w:tc>
      </w:tr>
      <w:tr>
        <w:tc>
          <w:tcPr/>
          <w:p>
            <w:pPr>
              <w:pStyle w:val="Compact"/>
              <w:jc w:val="left"/>
            </w:pPr>
            <w:r>
              <w:t xml:space="preserve">tbvBMD</w:t>
            </w:r>
          </w:p>
        </w:tc>
        <w:tc>
          <w:tcPr/>
          <w:p>
            <w:pPr>
              <w:pStyle w:val="Compact"/>
              <w:jc w:val="center"/>
            </w:pPr>
            <w:r>
              <w:t xml:space="preserve">93.10 ± 29.75</w:t>
            </w:r>
          </w:p>
        </w:tc>
        <w:tc>
          <w:tcPr/>
          <w:p>
            <w:pPr>
              <w:pStyle w:val="Compact"/>
              <w:jc w:val="center"/>
            </w:pPr>
            <w:r>
              <w:t xml:space="preserve">123.91 ± 37.95</w:t>
            </w:r>
          </w:p>
        </w:tc>
        <w:tc>
          <w:tcPr/>
          <w:p>
            <w:pPr>
              <w:pStyle w:val="Compact"/>
              <w:jc w:val="center"/>
            </w:pPr>
            <w:r>
              <w:t xml:space="preserve">-24.9%</w:t>
            </w:r>
          </w:p>
        </w:tc>
        <w:tc>
          <w:tcPr/>
          <w:p>
            <w:pPr>
              <w:pStyle w:val="Compact"/>
              <w:jc w:val="center"/>
            </w:pPr>
            <w:r>
              <w:rPr>
                <w:b/>
                <w:bCs/>
              </w:rPr>
              <w:t xml:space="preserve">&lt;0.001</w:t>
            </w:r>
          </w:p>
        </w:tc>
        <w:tc>
          <w:tcPr/>
          <w:p>
            <w:pPr>
              <w:pStyle w:val="Compact"/>
              <w:jc w:val="center"/>
            </w:pPr>
            <w:r>
              <w:t xml:space="preserve">0.91</w:t>
            </w:r>
          </w:p>
        </w:tc>
      </w:tr>
      <w:tr>
        <w:tc>
          <w:tcPr/>
          <w:p>
            <w:pPr>
              <w:pStyle w:val="Compact"/>
              <w:jc w:val="left"/>
            </w:pPr>
            <w:r>
              <w:t xml:space="preserve">TbMeta.v.BMD</w:t>
            </w:r>
          </w:p>
        </w:tc>
        <w:tc>
          <w:tcPr/>
          <w:p>
            <w:pPr>
              <w:pStyle w:val="Compact"/>
              <w:jc w:val="center"/>
            </w:pPr>
            <w:r>
              <w:t xml:space="preserve">151.48 ± 32.83</w:t>
            </w:r>
          </w:p>
        </w:tc>
        <w:tc>
          <w:tcPr/>
          <w:p>
            <w:pPr>
              <w:pStyle w:val="Compact"/>
              <w:jc w:val="center"/>
            </w:pPr>
            <w:r>
              <w:t xml:space="preserve">184.16 ± 38.64</w:t>
            </w:r>
          </w:p>
        </w:tc>
        <w:tc>
          <w:tcPr/>
          <w:p>
            <w:pPr>
              <w:pStyle w:val="Compact"/>
              <w:jc w:val="center"/>
            </w:pPr>
            <w:r>
              <w:t xml:space="preserve">-17.7%</w:t>
            </w:r>
          </w:p>
        </w:tc>
        <w:tc>
          <w:tcPr/>
          <w:p>
            <w:pPr>
              <w:pStyle w:val="Compact"/>
              <w:jc w:val="center"/>
            </w:pPr>
            <w:r>
              <w:rPr>
                <w:b/>
                <w:bCs/>
              </w:rPr>
              <w:t xml:space="preserve">&lt;0.001</w:t>
            </w:r>
          </w:p>
        </w:tc>
        <w:tc>
          <w:tcPr/>
          <w:p>
            <w:pPr>
              <w:pStyle w:val="Compact"/>
              <w:jc w:val="center"/>
            </w:pPr>
            <w:r>
              <w:t xml:space="preserve">0.91</w:t>
            </w:r>
          </w:p>
        </w:tc>
      </w:tr>
      <w:tr>
        <w:tc>
          <w:tcPr/>
          <w:p>
            <w:pPr>
              <w:pStyle w:val="Compact"/>
              <w:jc w:val="left"/>
            </w:pPr>
            <w:r>
              <w:t xml:space="preserve">Tb.inn.BMD</w:t>
            </w:r>
          </w:p>
        </w:tc>
        <w:tc>
          <w:tcPr/>
          <w:p>
            <w:pPr>
              <w:pStyle w:val="Compact"/>
              <w:jc w:val="center"/>
            </w:pPr>
            <w:r>
              <w:t xml:space="preserve">52.98 ± 29.51</w:t>
            </w:r>
          </w:p>
        </w:tc>
        <w:tc>
          <w:tcPr/>
          <w:p>
            <w:pPr>
              <w:pStyle w:val="Compact"/>
              <w:jc w:val="center"/>
            </w:pPr>
            <w:r>
              <w:t xml:space="preserve">82.58 ± 38.86</w:t>
            </w:r>
          </w:p>
        </w:tc>
        <w:tc>
          <w:tcPr/>
          <w:p>
            <w:pPr>
              <w:pStyle w:val="Compact"/>
              <w:jc w:val="center"/>
            </w:pPr>
            <w:r>
              <w:t xml:space="preserve">-35.8%</w:t>
            </w:r>
          </w:p>
        </w:tc>
        <w:tc>
          <w:tcPr/>
          <w:p>
            <w:pPr>
              <w:pStyle w:val="Compact"/>
              <w:jc w:val="center"/>
            </w:pPr>
            <w:r>
              <w:rPr>
                <w:b/>
                <w:bCs/>
              </w:rPr>
              <w:t xml:space="preserve">&lt;0.001</w:t>
            </w:r>
          </w:p>
        </w:tc>
        <w:tc>
          <w:tcPr/>
          <w:p>
            <w:pPr>
              <w:pStyle w:val="Compact"/>
              <w:jc w:val="center"/>
            </w:pPr>
            <w:r>
              <w:t xml:space="preserve">0.86</w:t>
            </w:r>
          </w:p>
        </w:tc>
      </w:tr>
      <w:tr>
        <w:tc>
          <w:tcPr/>
          <w:p>
            <w:pPr>
              <w:pStyle w:val="Compact"/>
              <w:jc w:val="left"/>
            </w:pPr>
            <w:r>
              <w:t xml:space="preserve">CTvBMD</w:t>
            </w:r>
          </w:p>
        </w:tc>
        <w:tc>
          <w:tcPr/>
          <w:p>
            <w:pPr>
              <w:pStyle w:val="Compact"/>
              <w:jc w:val="center"/>
            </w:pPr>
            <w:r>
              <w:t xml:space="preserve">872.25 ± 73.10</w:t>
            </w:r>
          </w:p>
        </w:tc>
        <w:tc>
          <w:tcPr/>
          <w:p>
            <w:pPr>
              <w:pStyle w:val="Compact"/>
              <w:jc w:val="center"/>
            </w:pPr>
            <w:r>
              <w:t xml:space="preserve">893.01 ± 64.59</w:t>
            </w:r>
          </w:p>
        </w:tc>
        <w:tc>
          <w:tcPr/>
          <w:p>
            <w:pPr>
              <w:pStyle w:val="Compact"/>
              <w:jc w:val="center"/>
            </w:pPr>
            <w:r>
              <w:t xml:space="preserve">-2.3%</w:t>
            </w:r>
          </w:p>
        </w:tc>
        <w:tc>
          <w:tcPr/>
          <w:p>
            <w:pPr>
              <w:pStyle w:val="Compact"/>
              <w:jc w:val="center"/>
            </w:pPr>
            <w:r>
              <w:t xml:space="preserve">0.225</w:t>
            </w:r>
          </w:p>
        </w:tc>
        <w:tc>
          <w:tcPr/>
          <w:p>
            <w:pPr>
              <w:pStyle w:val="Compact"/>
              <w:jc w:val="center"/>
            </w:pPr>
            <w:r>
              <w:t xml:space="preserve">0.30</w:t>
            </w:r>
          </w:p>
        </w:tc>
      </w:tr>
      <w:tr>
        <w:tc>
          <w:tcPr/>
          <w:p>
            <w:pPr>
              <w:pStyle w:val="Compact"/>
              <w:jc w:val="left"/>
            </w:pPr>
            <w:r>
              <w:t xml:space="preserve">BV/TV</w:t>
            </w:r>
          </w:p>
        </w:tc>
        <w:tc>
          <w:tcPr/>
          <w:p>
            <w:pPr>
              <w:pStyle w:val="Compact"/>
              <w:jc w:val="center"/>
            </w:pPr>
            <w:r>
              <w:t xml:space="preserve">0.13 ± 0.04</w:t>
            </w:r>
          </w:p>
        </w:tc>
        <w:tc>
          <w:tcPr/>
          <w:p>
            <w:pPr>
              <w:pStyle w:val="Compact"/>
              <w:jc w:val="center"/>
            </w:pPr>
            <w:r>
              <w:t xml:space="preserve">0.17 ± 0.05</w:t>
            </w:r>
          </w:p>
        </w:tc>
        <w:tc>
          <w:tcPr/>
          <w:p>
            <w:pPr>
              <w:pStyle w:val="Compact"/>
              <w:jc w:val="center"/>
            </w:pPr>
            <w:r>
              <w:t xml:space="preserve">-25.4%</w:t>
            </w:r>
          </w:p>
        </w:tc>
        <w:tc>
          <w:tcPr/>
          <w:p>
            <w:pPr>
              <w:pStyle w:val="Compact"/>
              <w:jc w:val="center"/>
            </w:pPr>
            <w:r>
              <w:rPr>
                <w:b/>
                <w:bCs/>
              </w:rPr>
              <w:t xml:space="preserve">&lt;0.001</w:t>
            </w:r>
          </w:p>
        </w:tc>
        <w:tc>
          <w:tcPr/>
          <w:p>
            <w:pPr>
              <w:pStyle w:val="Compact"/>
              <w:jc w:val="center"/>
            </w:pPr>
            <w:r>
              <w:t xml:space="preserve">0.92</w:t>
            </w:r>
          </w:p>
        </w:tc>
      </w:tr>
      <w:tr>
        <w:tc>
          <w:tcPr/>
          <w:p>
            <w:pPr>
              <w:pStyle w:val="Compact"/>
              <w:jc w:val="left"/>
            </w:pPr>
            <w:r>
              <w:t xml:space="preserve">TB.N</w:t>
            </w:r>
          </w:p>
        </w:tc>
        <w:tc>
          <w:tcPr/>
          <w:p>
            <w:pPr>
              <w:pStyle w:val="Compact"/>
              <w:jc w:val="center"/>
            </w:pPr>
            <w:r>
              <w:t xml:space="preserve">1.01 ± 0.22</w:t>
            </w:r>
          </w:p>
        </w:tc>
        <w:tc>
          <w:tcPr/>
          <w:p>
            <w:pPr>
              <w:pStyle w:val="Compact"/>
              <w:jc w:val="center"/>
            </w:pPr>
            <w:r>
              <w:t xml:space="preserve">1.23 ± 0.23</w:t>
            </w:r>
          </w:p>
        </w:tc>
        <w:tc>
          <w:tcPr/>
          <w:p>
            <w:pPr>
              <w:pStyle w:val="Compact"/>
              <w:jc w:val="center"/>
            </w:pPr>
            <w:r>
              <w:t xml:space="preserve">-17.7%</w:t>
            </w:r>
          </w:p>
        </w:tc>
        <w:tc>
          <w:tcPr/>
          <w:p>
            <w:pPr>
              <w:pStyle w:val="Compact"/>
              <w:jc w:val="center"/>
            </w:pPr>
            <w:r>
              <w:rPr>
                <w:b/>
                <w:bCs/>
              </w:rPr>
              <w:t xml:space="preserve">&lt;0.001</w:t>
            </w:r>
          </w:p>
        </w:tc>
        <w:tc>
          <w:tcPr/>
          <w:p>
            <w:pPr>
              <w:pStyle w:val="Compact"/>
              <w:jc w:val="center"/>
            </w:pPr>
            <w:r>
              <w:t xml:space="preserve">0.99</w:t>
            </w:r>
          </w:p>
        </w:tc>
      </w:tr>
      <w:tr>
        <w:tc>
          <w:tcPr/>
          <w:p>
            <w:pPr>
              <w:pStyle w:val="Compact"/>
              <w:jc w:val="left"/>
            </w:pPr>
            <w:r>
              <w:t xml:space="preserve">TB.TH</w:t>
            </w:r>
          </w:p>
        </w:tc>
        <w:tc>
          <w:tcPr/>
          <w:p>
            <w:pPr>
              <w:pStyle w:val="Compact"/>
              <w:jc w:val="center"/>
            </w:pPr>
            <w:r>
              <w:t xml:space="preserve">0.22 ± 0.02</w:t>
            </w:r>
          </w:p>
        </w:tc>
        <w:tc>
          <w:tcPr/>
          <w:p>
            <w:pPr>
              <w:pStyle w:val="Compact"/>
              <w:jc w:val="center"/>
            </w:pPr>
            <w:r>
              <w:t xml:space="preserve">0.22 ± 0.02</w:t>
            </w:r>
          </w:p>
        </w:tc>
        <w:tc>
          <w:tcPr/>
          <w:p>
            <w:pPr>
              <w:pStyle w:val="Compact"/>
              <w:jc w:val="center"/>
            </w:pPr>
            <w:r>
              <w:t xml:space="preserve">-3.0%</w:t>
            </w:r>
          </w:p>
        </w:tc>
        <w:tc>
          <w:tcPr/>
          <w:p>
            <w:pPr>
              <w:pStyle w:val="Compact"/>
              <w:jc w:val="center"/>
            </w:pPr>
            <w:r>
              <w:t xml:space="preserve">0.245</w:t>
            </w:r>
          </w:p>
        </w:tc>
        <w:tc>
          <w:tcPr/>
          <w:p>
            <w:pPr>
              <w:pStyle w:val="Compact"/>
              <w:jc w:val="center"/>
            </w:pPr>
            <w:r>
              <w:t xml:space="preserve">0.29</w:t>
            </w:r>
          </w:p>
        </w:tc>
      </w:tr>
      <w:tr>
        <w:tc>
          <w:tcPr/>
          <w:p>
            <w:pPr>
              <w:pStyle w:val="Compact"/>
              <w:jc w:val="left"/>
            </w:pPr>
            <w:r>
              <w:t xml:space="preserve">TB.SP</w:t>
            </w:r>
          </w:p>
        </w:tc>
        <w:tc>
          <w:tcPr/>
          <w:p>
            <w:pPr>
              <w:pStyle w:val="Compact"/>
              <w:jc w:val="center"/>
            </w:pPr>
            <w:r>
              <w:t xml:space="preserve">1.02 ± 0.23</w:t>
            </w:r>
          </w:p>
        </w:tc>
        <w:tc>
          <w:tcPr/>
          <w:p>
            <w:pPr>
              <w:pStyle w:val="Compact"/>
              <w:jc w:val="center"/>
            </w:pPr>
            <w:r>
              <w:t xml:space="preserve">0.82 ± 0.19</w:t>
            </w:r>
          </w:p>
        </w:tc>
        <w:tc>
          <w:tcPr/>
          <w:p>
            <w:pPr>
              <w:pStyle w:val="Compact"/>
              <w:jc w:val="center"/>
            </w:pPr>
            <w:r>
              <w:t xml:space="preserve">24.1%</w:t>
            </w:r>
          </w:p>
        </w:tc>
        <w:tc>
          <w:tcPr/>
          <w:p>
            <w:pPr>
              <w:pStyle w:val="Compact"/>
              <w:jc w:val="center"/>
            </w:pPr>
            <w:r>
              <w:rPr>
                <w:b/>
                <w:bCs/>
              </w:rPr>
              <w:t xml:space="preserve">&lt;0.001</w:t>
            </w:r>
          </w:p>
        </w:tc>
        <w:tc>
          <w:tcPr/>
          <w:p>
            <w:pPr>
              <w:pStyle w:val="Compact"/>
              <w:jc w:val="center"/>
            </w:pPr>
            <w:r>
              <w:t xml:space="preserve">0.93</w:t>
            </w:r>
          </w:p>
        </w:tc>
      </w:tr>
      <w:tr>
        <w:tc>
          <w:tcPr/>
          <w:p>
            <w:pPr>
              <w:pStyle w:val="Compact"/>
              <w:jc w:val="left"/>
            </w:pPr>
            <w:r>
              <w:t xml:space="preserve">TB.1/N.SD</w:t>
            </w:r>
          </w:p>
        </w:tc>
        <w:tc>
          <w:tcPr/>
          <w:p>
            <w:pPr>
              <w:pStyle w:val="Compact"/>
              <w:jc w:val="center"/>
            </w:pPr>
            <w:r>
              <w:t xml:space="preserve">0.45 ± 0.20</w:t>
            </w:r>
          </w:p>
        </w:tc>
        <w:tc>
          <w:tcPr/>
          <w:p>
            <w:pPr>
              <w:pStyle w:val="Compact"/>
              <w:jc w:val="center"/>
            </w:pPr>
            <w:r>
              <w:t xml:space="preserve">0.31 ± 0.09</w:t>
            </w:r>
          </w:p>
        </w:tc>
        <w:tc>
          <w:tcPr/>
          <w:p>
            <w:pPr>
              <w:pStyle w:val="Compact"/>
              <w:jc w:val="center"/>
            </w:pPr>
            <w:r>
              <w:t xml:space="preserve">43.9%</w:t>
            </w:r>
          </w:p>
        </w:tc>
        <w:tc>
          <w:tcPr/>
          <w:p>
            <w:pPr>
              <w:pStyle w:val="Compact"/>
              <w:jc w:val="center"/>
            </w:pPr>
            <w:r>
              <w:rPr>
                <w:b/>
                <w:bCs/>
              </w:rPr>
              <w:t xml:space="preserve">&lt;0.001</w:t>
            </w:r>
          </w:p>
        </w:tc>
        <w:tc>
          <w:tcPr/>
          <w:p>
            <w:pPr>
              <w:pStyle w:val="Compact"/>
              <w:jc w:val="center"/>
            </w:pPr>
            <w:r>
              <w:t xml:space="preserve">0.88</w:t>
            </w:r>
          </w:p>
        </w:tc>
      </w:tr>
      <w:tr>
        <w:tc>
          <w:tcPr/>
          <w:p>
            <w:pPr>
              <w:pStyle w:val="Compact"/>
              <w:jc w:val="left"/>
            </w:pPr>
            <w:r>
              <w:t xml:space="preserve">CT.TH</w:t>
            </w:r>
          </w:p>
        </w:tc>
        <w:tc>
          <w:tcPr/>
          <w:p>
            <w:pPr>
              <w:pStyle w:val="Compact"/>
              <w:jc w:val="center"/>
            </w:pPr>
            <w:r>
              <w:t xml:space="preserve">0.91 ± 0.25</w:t>
            </w:r>
          </w:p>
        </w:tc>
        <w:tc>
          <w:tcPr/>
          <w:p>
            <w:pPr>
              <w:pStyle w:val="Compact"/>
              <w:jc w:val="center"/>
            </w:pPr>
            <w:r>
              <w:t xml:space="preserve">1.00 ± 0.20</w:t>
            </w:r>
          </w:p>
        </w:tc>
        <w:tc>
          <w:tcPr/>
          <w:p>
            <w:pPr>
              <w:pStyle w:val="Compact"/>
              <w:jc w:val="center"/>
            </w:pPr>
            <w:r>
              <w:t xml:space="preserve">-8.8%</w:t>
            </w:r>
          </w:p>
        </w:tc>
        <w:tc>
          <w:tcPr/>
          <w:p>
            <w:pPr>
              <w:pStyle w:val="Compact"/>
              <w:jc w:val="center"/>
            </w:pPr>
            <w:r>
              <w:t xml:space="preserve">0.114</w:t>
            </w:r>
          </w:p>
        </w:tc>
        <w:tc>
          <w:tcPr/>
          <w:p>
            <w:pPr>
              <w:pStyle w:val="Compact"/>
              <w:jc w:val="center"/>
            </w:pPr>
            <w:r>
              <w:t xml:space="preserve">0.39</w:t>
            </w:r>
          </w:p>
        </w:tc>
      </w:tr>
      <w:tr>
        <w:tc>
          <w:tcPr/>
          <w:p>
            <w:pPr>
              <w:pStyle w:val="Compact"/>
              <w:jc w:val="left"/>
            </w:pPr>
            <w:r>
              <w:t xml:space="preserve">CT.PO</w:t>
            </w:r>
          </w:p>
        </w:tc>
        <w:tc>
          <w:tcPr/>
          <w:p>
            <w:pPr>
              <w:pStyle w:val="Compact"/>
              <w:jc w:val="center"/>
            </w:pPr>
            <w:r>
              <w:t xml:space="preserve">0.01 ± 0.00</w:t>
            </w:r>
          </w:p>
        </w:tc>
        <w:tc>
          <w:tcPr/>
          <w:p>
            <w:pPr>
              <w:pStyle w:val="Compact"/>
              <w:jc w:val="center"/>
            </w:pPr>
            <w:r>
              <w:t xml:space="preserve">0.01 ± 0.01</w:t>
            </w:r>
          </w:p>
        </w:tc>
        <w:tc>
          <w:tcPr/>
          <w:p>
            <w:pPr>
              <w:pStyle w:val="Compact"/>
              <w:jc w:val="center"/>
            </w:pPr>
            <w:r>
              <w:t xml:space="preserve">-18.9%</w:t>
            </w:r>
          </w:p>
        </w:tc>
        <w:tc>
          <w:tcPr/>
          <w:p>
            <w:pPr>
              <w:pStyle w:val="Compact"/>
              <w:jc w:val="center"/>
            </w:pPr>
            <w:r>
              <w:t xml:space="preserve">0.265</w:t>
            </w:r>
          </w:p>
        </w:tc>
        <w:tc>
          <w:tcPr/>
          <w:p>
            <w:pPr>
              <w:pStyle w:val="Compact"/>
              <w:jc w:val="center"/>
            </w:pPr>
            <w:r>
              <w:t xml:space="preserve">0.28</w:t>
            </w:r>
          </w:p>
        </w:tc>
      </w:tr>
      <w:tr>
        <w:tc>
          <w:tcPr/>
          <w:p>
            <w:pPr>
              <w:pStyle w:val="Compact"/>
              <w:jc w:val="left"/>
            </w:pPr>
            <w:r>
              <w:t xml:space="preserve">CT.PO.DM</w:t>
            </w:r>
          </w:p>
        </w:tc>
        <w:tc>
          <w:tcPr/>
          <w:p>
            <w:pPr>
              <w:pStyle w:val="Compact"/>
              <w:jc w:val="center"/>
            </w:pPr>
            <w:r>
              <w:t xml:space="preserve">0.17 ± 0.04</w:t>
            </w:r>
          </w:p>
        </w:tc>
        <w:tc>
          <w:tcPr/>
          <w:p>
            <w:pPr>
              <w:pStyle w:val="Compact"/>
              <w:jc w:val="center"/>
            </w:pPr>
            <w:r>
              <w:t xml:space="preserve">0.18 ± 0.04</w:t>
            </w:r>
          </w:p>
        </w:tc>
        <w:tc>
          <w:tcPr/>
          <w:p>
            <w:pPr>
              <w:pStyle w:val="Compact"/>
              <w:jc w:val="center"/>
            </w:pPr>
            <w:r>
              <w:t xml:space="preserve">-5.4%</w:t>
            </w:r>
          </w:p>
        </w:tc>
        <w:tc>
          <w:tcPr/>
          <w:p>
            <w:pPr>
              <w:pStyle w:val="Compact"/>
              <w:jc w:val="center"/>
            </w:pPr>
            <w:r>
              <w:t xml:space="preserve">0.354</w:t>
            </w:r>
          </w:p>
        </w:tc>
        <w:tc>
          <w:tcPr/>
          <w:p>
            <w:pPr>
              <w:pStyle w:val="Compact"/>
              <w:jc w:val="center"/>
            </w:pPr>
            <w:r>
              <w:t xml:space="preserve">0.23</w:t>
            </w:r>
          </w:p>
        </w:tc>
      </w:tr>
      <w:tr>
        <w:tc>
          <w:tcPr/>
          <w:p>
            <w:pPr>
              <w:pStyle w:val="Compact"/>
              <w:jc w:val="left"/>
            </w:pPr>
            <w:r>
              <w:t xml:space="preserve">Stiffness</w:t>
            </w:r>
          </w:p>
        </w:tc>
        <w:tc>
          <w:tcPr/>
          <w:p>
            <w:pPr>
              <w:pStyle w:val="Compact"/>
              <w:jc w:val="center"/>
            </w:pPr>
            <w:r>
              <w:t xml:space="preserve">41044.12 ± 9877.45</w:t>
            </w:r>
          </w:p>
        </w:tc>
        <w:tc>
          <w:tcPr/>
          <w:p>
            <w:pPr>
              <w:pStyle w:val="Compact"/>
              <w:jc w:val="center"/>
            </w:pPr>
            <w:r>
              <w:t xml:space="preserve">47433.73 ± 8830.96</w:t>
            </w:r>
          </w:p>
        </w:tc>
        <w:tc>
          <w:tcPr/>
          <w:p>
            <w:pPr>
              <w:pStyle w:val="Compact"/>
              <w:jc w:val="center"/>
            </w:pPr>
            <w:r>
              <w:t xml:space="preserve">-13.5%</w:t>
            </w:r>
          </w:p>
        </w:tc>
        <w:tc>
          <w:tcPr/>
          <w:p>
            <w:pPr>
              <w:pStyle w:val="Compact"/>
              <w:jc w:val="center"/>
            </w:pPr>
            <w:r>
              <w:rPr>
                <w:b/>
                <w:bCs/>
              </w:rPr>
              <w:t xml:space="preserve">0.007</w:t>
            </w:r>
          </w:p>
        </w:tc>
        <w:tc>
          <w:tcPr/>
          <w:p>
            <w:pPr>
              <w:pStyle w:val="Compact"/>
              <w:jc w:val="center"/>
            </w:pPr>
            <w:r>
              <w:t xml:space="preserve">0.68</w:t>
            </w:r>
          </w:p>
        </w:tc>
      </w:tr>
      <w:tr>
        <w:tc>
          <w:tcPr/>
          <w:p>
            <w:pPr>
              <w:pStyle w:val="Compact"/>
              <w:jc w:val="left"/>
            </w:pPr>
            <w:r>
              <w:t xml:space="preserve">F.Load</w:t>
            </w:r>
          </w:p>
        </w:tc>
        <w:tc>
          <w:tcPr/>
          <w:p>
            <w:pPr>
              <w:pStyle w:val="Compact"/>
              <w:jc w:val="center"/>
            </w:pPr>
            <w:r>
              <w:t xml:space="preserve">-2159.79 ± 559.45</w:t>
            </w:r>
          </w:p>
        </w:tc>
        <w:tc>
          <w:tcPr/>
          <w:p>
            <w:pPr>
              <w:pStyle w:val="Compact"/>
              <w:jc w:val="center"/>
            </w:pPr>
            <w:r>
              <w:t xml:space="preserve">-2511.31 ± 503.25</w:t>
            </w:r>
          </w:p>
        </w:tc>
        <w:tc>
          <w:tcPr/>
          <w:p>
            <w:pPr>
              <w:pStyle w:val="Compact"/>
              <w:jc w:val="center"/>
            </w:pPr>
            <w:r>
              <w:t xml:space="preserve">-14.0%</w:t>
            </w:r>
          </w:p>
        </w:tc>
        <w:tc>
          <w:tcPr/>
          <w:p>
            <w:pPr>
              <w:pStyle w:val="Compact"/>
              <w:jc w:val="center"/>
            </w:pPr>
            <w:r>
              <w:rPr>
                <w:b/>
                <w:bCs/>
              </w:rPr>
              <w:t xml:space="preserve">0.009</w:t>
            </w:r>
          </w:p>
        </w:tc>
        <w:tc>
          <w:tcPr/>
          <w:p>
            <w:pPr>
              <w:pStyle w:val="Compact"/>
              <w:jc w:val="center"/>
            </w:pPr>
            <w:r>
              <w:t xml:space="preserve">0.66</w:t>
            </w:r>
          </w:p>
        </w:tc>
      </w:tr>
      <w:tr>
        <w:tc>
          <w:tcPr/>
          <w:p>
            <w:pPr>
              <w:pStyle w:val="Compact"/>
              <w:jc w:val="left"/>
            </w:pPr>
            <w:r>
              <w:rPr>
                <w:b/>
                <w:bCs/>
              </w:rPr>
              <w:t xml:space="preserve">Distal Tibia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TT.AR</w:t>
            </w:r>
          </w:p>
        </w:tc>
        <w:tc>
          <w:tcPr/>
          <w:p>
            <w:pPr>
              <w:pStyle w:val="Compact"/>
              <w:jc w:val="center"/>
            </w:pPr>
            <w:r>
              <w:t xml:space="preserve">523.34 ± 93.04</w:t>
            </w:r>
          </w:p>
        </w:tc>
        <w:tc>
          <w:tcPr/>
          <w:p>
            <w:pPr>
              <w:pStyle w:val="Compact"/>
              <w:jc w:val="center"/>
            </w:pPr>
            <w:r>
              <w:t xml:space="preserve">517.86 ± 66.66</w:t>
            </w:r>
          </w:p>
        </w:tc>
        <w:tc>
          <w:tcPr/>
          <w:p>
            <w:pPr>
              <w:pStyle w:val="Compact"/>
              <w:jc w:val="center"/>
            </w:pPr>
            <w:r>
              <w:t xml:space="preserve">1.1%</w:t>
            </w:r>
          </w:p>
        </w:tc>
        <w:tc>
          <w:tcPr/>
          <w:p>
            <w:pPr>
              <w:pStyle w:val="Compact"/>
              <w:jc w:val="center"/>
            </w:pPr>
            <w:r>
              <w:t xml:space="preserve">0.783</w:t>
            </w:r>
          </w:p>
        </w:tc>
        <w:tc>
          <w:tcPr/>
          <w:p>
            <w:pPr>
              <w:pStyle w:val="Compact"/>
              <w:jc w:val="center"/>
            </w:pPr>
            <w:r>
              <w:t xml:space="preserve">0.07</w:t>
            </w:r>
          </w:p>
        </w:tc>
      </w:tr>
      <w:tr>
        <w:tc>
          <w:tcPr/>
          <w:p>
            <w:pPr>
              <w:pStyle w:val="Compact"/>
              <w:jc w:val="left"/>
            </w:pPr>
            <w:r>
              <w:t xml:space="preserve">CT.PM</w:t>
            </w:r>
          </w:p>
        </w:tc>
        <w:tc>
          <w:tcPr/>
          <w:p>
            <w:pPr>
              <w:pStyle w:val="Compact"/>
              <w:jc w:val="center"/>
            </w:pPr>
            <w:r>
              <w:t xml:space="preserve">88.61 ± 8.64</w:t>
            </w:r>
          </w:p>
        </w:tc>
        <w:tc>
          <w:tcPr/>
          <w:p>
            <w:pPr>
              <w:pStyle w:val="Compact"/>
              <w:jc w:val="center"/>
            </w:pPr>
            <w:r>
              <w:t xml:space="preserve">88.59 ± 5.68</w:t>
            </w:r>
          </w:p>
        </w:tc>
        <w:tc>
          <w:tcPr/>
          <w:p>
            <w:pPr>
              <w:pStyle w:val="Compact"/>
              <w:jc w:val="center"/>
            </w:pPr>
            <w:r>
              <w:t xml:space="preserve">0.0%</w:t>
            </w:r>
          </w:p>
        </w:tc>
        <w:tc>
          <w:tcPr/>
          <w:p>
            <w:pPr>
              <w:pStyle w:val="Compact"/>
              <w:jc w:val="center"/>
            </w:pPr>
            <w:r>
              <w:t xml:space="preserve">0.989</w:t>
            </w:r>
          </w:p>
        </w:tc>
        <w:tc>
          <w:tcPr/>
          <w:p>
            <w:pPr>
              <w:pStyle w:val="Compact"/>
              <w:jc w:val="center"/>
            </w:pPr>
            <w:r>
              <w:t xml:space="preserve">0.00</w:t>
            </w:r>
          </w:p>
        </w:tc>
      </w:tr>
      <w:tr>
        <w:tc>
          <w:tcPr/>
          <w:p>
            <w:pPr>
              <w:pStyle w:val="Compact"/>
              <w:jc w:val="left"/>
            </w:pPr>
            <w:r>
              <w:t xml:space="preserve">CT.AR</w:t>
            </w:r>
          </w:p>
        </w:tc>
        <w:tc>
          <w:tcPr/>
          <w:p>
            <w:pPr>
              <w:pStyle w:val="Compact"/>
              <w:jc w:val="center"/>
            </w:pPr>
            <w:r>
              <w:t xml:space="preserve">104.70 ± 19.04</w:t>
            </w:r>
          </w:p>
        </w:tc>
        <w:tc>
          <w:tcPr/>
          <w:p>
            <w:pPr>
              <w:pStyle w:val="Compact"/>
              <w:jc w:val="center"/>
            </w:pPr>
            <w:r>
              <w:t xml:space="preserve">114.42 ± 13.17</w:t>
            </w:r>
          </w:p>
        </w:tc>
        <w:tc>
          <w:tcPr/>
          <w:p>
            <w:pPr>
              <w:pStyle w:val="Compact"/>
              <w:jc w:val="center"/>
            </w:pPr>
            <w:r>
              <w:t xml:space="preserve">-8.5%</w:t>
            </w:r>
          </w:p>
        </w:tc>
        <w:tc>
          <w:tcPr/>
          <w:p>
            <w:pPr>
              <w:pStyle w:val="Compact"/>
              <w:jc w:val="center"/>
            </w:pPr>
            <w:r>
              <w:rPr>
                <w:b/>
                <w:bCs/>
              </w:rPr>
              <w:t xml:space="preserve">0.018</w:t>
            </w:r>
          </w:p>
        </w:tc>
        <w:tc>
          <w:tcPr/>
          <w:p>
            <w:pPr>
              <w:pStyle w:val="Compact"/>
              <w:jc w:val="center"/>
            </w:pPr>
            <w:r>
              <w:t xml:space="preserve">0.59</w:t>
            </w:r>
          </w:p>
        </w:tc>
      </w:tr>
      <w:tr>
        <w:tc>
          <w:tcPr/>
          <w:p>
            <w:pPr>
              <w:pStyle w:val="Compact"/>
              <w:jc w:val="left"/>
            </w:pPr>
            <w:r>
              <w:t xml:space="preserve">TB.AR</w:t>
            </w:r>
          </w:p>
        </w:tc>
        <w:tc>
          <w:tcPr/>
          <w:p>
            <w:pPr>
              <w:pStyle w:val="Compact"/>
              <w:jc w:val="center"/>
            </w:pPr>
            <w:r>
              <w:t xml:space="preserve">422.72 ± 92.64</w:t>
            </w:r>
          </w:p>
        </w:tc>
        <w:tc>
          <w:tcPr/>
          <w:p>
            <w:pPr>
              <w:pStyle w:val="Compact"/>
              <w:jc w:val="center"/>
            </w:pPr>
            <w:r>
              <w:t xml:space="preserve">407.99 ± 65.36</w:t>
            </w:r>
          </w:p>
        </w:tc>
        <w:tc>
          <w:tcPr/>
          <w:p>
            <w:pPr>
              <w:pStyle w:val="Compact"/>
              <w:jc w:val="center"/>
            </w:pPr>
            <w:r>
              <w:t xml:space="preserve">3.6%</w:t>
            </w:r>
          </w:p>
        </w:tc>
        <w:tc>
          <w:tcPr/>
          <w:p>
            <w:pPr>
              <w:pStyle w:val="Compact"/>
              <w:jc w:val="center"/>
            </w:pPr>
            <w:r>
              <w:t xml:space="preserve">0.456</w:t>
            </w:r>
          </w:p>
        </w:tc>
        <w:tc>
          <w:tcPr/>
          <w:p>
            <w:pPr>
              <w:pStyle w:val="Compact"/>
              <w:jc w:val="center"/>
            </w:pPr>
            <w:r>
              <w:t xml:space="preserve">0.18</w:t>
            </w:r>
          </w:p>
        </w:tc>
      </w:tr>
      <w:tr>
        <w:tc>
          <w:tcPr/>
          <w:p>
            <w:pPr>
              <w:pStyle w:val="Compact"/>
              <w:jc w:val="left"/>
            </w:pPr>
            <w:r>
              <w:t xml:space="preserve">TB.META.AR</w:t>
            </w:r>
          </w:p>
        </w:tc>
        <w:tc>
          <w:tcPr/>
          <w:p>
            <w:pPr>
              <w:pStyle w:val="Compact"/>
              <w:jc w:val="center"/>
            </w:pPr>
            <w:r>
              <w:t xml:space="preserve">170.74 ± 37.23</w:t>
            </w:r>
          </w:p>
        </w:tc>
        <w:tc>
          <w:tcPr/>
          <w:p>
            <w:pPr>
              <w:pStyle w:val="Compact"/>
              <w:jc w:val="center"/>
            </w:pPr>
            <w:r>
              <w:t xml:space="preserve">164.83 ± 26.28</w:t>
            </w:r>
          </w:p>
        </w:tc>
        <w:tc>
          <w:tcPr/>
          <w:p>
            <w:pPr>
              <w:pStyle w:val="Compact"/>
              <w:jc w:val="center"/>
            </w:pPr>
            <w:r>
              <w:t xml:space="preserve">3.6%</w:t>
            </w:r>
          </w:p>
        </w:tc>
        <w:tc>
          <w:tcPr/>
          <w:p>
            <w:pPr>
              <w:pStyle w:val="Compact"/>
              <w:jc w:val="center"/>
            </w:pPr>
            <w:r>
              <w:t xml:space="preserve">0.457</w:t>
            </w:r>
          </w:p>
        </w:tc>
        <w:tc>
          <w:tcPr/>
          <w:p>
            <w:pPr>
              <w:pStyle w:val="Compact"/>
              <w:jc w:val="center"/>
            </w:pPr>
            <w:r>
              <w:t xml:space="preserve">0.18</w:t>
            </w:r>
          </w:p>
        </w:tc>
      </w:tr>
      <w:tr>
        <w:tc>
          <w:tcPr/>
          <w:p>
            <w:pPr>
              <w:pStyle w:val="Compact"/>
              <w:jc w:val="left"/>
            </w:pPr>
            <w:r>
              <w:t xml:space="preserve">TB.INN.AR</w:t>
            </w:r>
          </w:p>
        </w:tc>
        <w:tc>
          <w:tcPr/>
          <w:p>
            <w:pPr>
              <w:pStyle w:val="Compact"/>
              <w:jc w:val="center"/>
            </w:pPr>
            <w:r>
              <w:t xml:space="preserve">252.01 ± 55.42</w:t>
            </w:r>
          </w:p>
        </w:tc>
        <w:tc>
          <w:tcPr/>
          <w:p>
            <w:pPr>
              <w:pStyle w:val="Compact"/>
              <w:jc w:val="center"/>
            </w:pPr>
            <w:r>
              <w:t xml:space="preserve">243.55 ± 39.04</w:t>
            </w:r>
          </w:p>
        </w:tc>
        <w:tc>
          <w:tcPr/>
          <w:p>
            <w:pPr>
              <w:pStyle w:val="Compact"/>
              <w:jc w:val="center"/>
            </w:pPr>
            <w:r>
              <w:t xml:space="preserve">3.5%</w:t>
            </w:r>
          </w:p>
        </w:tc>
        <w:tc>
          <w:tcPr/>
          <w:p>
            <w:pPr>
              <w:pStyle w:val="Compact"/>
              <w:jc w:val="center"/>
            </w:pPr>
            <w:r>
              <w:t xml:space="preserve">0.475</w:t>
            </w:r>
          </w:p>
        </w:tc>
        <w:tc>
          <w:tcPr/>
          <w:p>
            <w:pPr>
              <w:pStyle w:val="Compact"/>
              <w:jc w:val="center"/>
            </w:pPr>
            <w:r>
              <w:t xml:space="preserve">0.18</w:t>
            </w:r>
          </w:p>
        </w:tc>
      </w:tr>
      <w:tr>
        <w:tc>
          <w:tcPr/>
          <w:p>
            <w:pPr>
              <w:pStyle w:val="Compact"/>
              <w:jc w:val="left"/>
            </w:pPr>
            <w:r>
              <w:t xml:space="preserve">ttvBMD</w:t>
            </w:r>
          </w:p>
        </w:tc>
        <w:tc>
          <w:tcPr/>
          <w:p>
            <w:pPr>
              <w:pStyle w:val="Compact"/>
              <w:jc w:val="center"/>
            </w:pPr>
            <w:r>
              <w:t xml:space="preserve">262.86 ± 51.91</w:t>
            </w:r>
          </w:p>
        </w:tc>
        <w:tc>
          <w:tcPr/>
          <w:p>
            <w:pPr>
              <w:pStyle w:val="Compact"/>
              <w:jc w:val="center"/>
            </w:pPr>
            <w:r>
              <w:t xml:space="preserve">294.07 ± 50.27</w:t>
            </w:r>
          </w:p>
        </w:tc>
        <w:tc>
          <w:tcPr/>
          <w:p>
            <w:pPr>
              <w:pStyle w:val="Compact"/>
              <w:jc w:val="center"/>
            </w:pPr>
            <w:r>
              <w:t xml:space="preserve">-10.6%</w:t>
            </w:r>
          </w:p>
        </w:tc>
        <w:tc>
          <w:tcPr/>
          <w:p>
            <w:pPr>
              <w:pStyle w:val="Compact"/>
              <w:jc w:val="center"/>
            </w:pPr>
            <w:r>
              <w:rPr>
                <w:b/>
                <w:bCs/>
              </w:rPr>
              <w:t xml:space="preserve">0.016</w:t>
            </w:r>
          </w:p>
        </w:tc>
        <w:tc>
          <w:tcPr/>
          <w:p>
            <w:pPr>
              <w:pStyle w:val="Compact"/>
              <w:jc w:val="center"/>
            </w:pPr>
            <w:r>
              <w:t xml:space="preserve">0.61</w:t>
            </w:r>
          </w:p>
        </w:tc>
      </w:tr>
      <w:tr>
        <w:tc>
          <w:tcPr/>
          <w:p>
            <w:pPr>
              <w:pStyle w:val="Compact"/>
              <w:jc w:val="left"/>
            </w:pPr>
            <w:r>
              <w:t xml:space="preserve">tbvBMD</w:t>
            </w:r>
          </w:p>
        </w:tc>
        <w:tc>
          <w:tcPr/>
          <w:p>
            <w:pPr>
              <w:pStyle w:val="Compact"/>
              <w:jc w:val="center"/>
            </w:pPr>
            <w:r>
              <w:t xml:space="preserve">99.80 ± 25.08</w:t>
            </w:r>
          </w:p>
        </w:tc>
        <w:tc>
          <w:tcPr/>
          <w:p>
            <w:pPr>
              <w:pStyle w:val="Compact"/>
              <w:jc w:val="center"/>
            </w:pPr>
            <w:r>
              <w:t xml:space="preserve">117.71 ± 33.14</w:t>
            </w:r>
          </w:p>
        </w:tc>
        <w:tc>
          <w:tcPr/>
          <w:p>
            <w:pPr>
              <w:pStyle w:val="Compact"/>
              <w:jc w:val="center"/>
            </w:pPr>
            <w:r>
              <w:t xml:space="preserve">-15.2%</w:t>
            </w:r>
          </w:p>
        </w:tc>
        <w:tc>
          <w:tcPr/>
          <w:p>
            <w:pPr>
              <w:pStyle w:val="Compact"/>
              <w:jc w:val="center"/>
            </w:pPr>
            <w:r>
              <w:rPr>
                <w:b/>
                <w:bCs/>
              </w:rPr>
              <w:t xml:space="preserve">0.017</w:t>
            </w:r>
          </w:p>
        </w:tc>
        <w:tc>
          <w:tcPr/>
          <w:p>
            <w:pPr>
              <w:pStyle w:val="Compact"/>
              <w:jc w:val="center"/>
            </w:pPr>
            <w:r>
              <w:t xml:space="preserve">0.61</w:t>
            </w:r>
          </w:p>
        </w:tc>
      </w:tr>
      <w:tr>
        <w:tc>
          <w:tcPr/>
          <w:p>
            <w:pPr>
              <w:pStyle w:val="Compact"/>
              <w:jc w:val="left"/>
            </w:pPr>
            <w:r>
              <w:t xml:space="preserve">TbMeta.v.BMD</w:t>
            </w:r>
          </w:p>
        </w:tc>
        <w:tc>
          <w:tcPr/>
          <w:p>
            <w:pPr>
              <w:pStyle w:val="Compact"/>
              <w:jc w:val="center"/>
            </w:pPr>
            <w:r>
              <w:t xml:space="preserve">177.93 ± 32.09</w:t>
            </w:r>
          </w:p>
        </w:tc>
        <w:tc>
          <w:tcPr/>
          <w:p>
            <w:pPr>
              <w:pStyle w:val="Compact"/>
              <w:jc w:val="center"/>
            </w:pPr>
            <w:r>
              <w:t xml:space="preserve">195.59 ± 37.76</w:t>
            </w:r>
          </w:p>
        </w:tc>
        <w:tc>
          <w:tcPr/>
          <w:p>
            <w:pPr>
              <w:pStyle w:val="Compact"/>
              <w:jc w:val="center"/>
            </w:pPr>
            <w:r>
              <w:t xml:space="preserve">-9.0%</w:t>
            </w:r>
          </w:p>
        </w:tc>
        <w:tc>
          <w:tcPr/>
          <w:p>
            <w:pPr>
              <w:pStyle w:val="Compact"/>
              <w:jc w:val="center"/>
            </w:pPr>
            <w:r>
              <w:rPr>
                <w:b/>
                <w:bCs/>
              </w:rPr>
              <w:t xml:space="preserve">0.045</w:t>
            </w:r>
          </w:p>
        </w:tc>
        <w:tc>
          <w:tcPr/>
          <w:p>
            <w:pPr>
              <w:pStyle w:val="Compact"/>
              <w:jc w:val="center"/>
            </w:pPr>
            <w:r>
              <w:t xml:space="preserve">0.51</w:t>
            </w:r>
          </w:p>
        </w:tc>
      </w:tr>
      <w:tr>
        <w:tc>
          <w:tcPr/>
          <w:p>
            <w:pPr>
              <w:pStyle w:val="Compact"/>
              <w:jc w:val="left"/>
            </w:pPr>
            <w:r>
              <w:t xml:space="preserve">Tb.inn.BMD</w:t>
            </w:r>
          </w:p>
        </w:tc>
        <w:tc>
          <w:tcPr/>
          <w:p>
            <w:pPr>
              <w:pStyle w:val="Compact"/>
              <w:jc w:val="center"/>
            </w:pPr>
            <w:r>
              <w:t xml:space="preserve">46.77 ± 25.88</w:t>
            </w:r>
          </w:p>
        </w:tc>
        <w:tc>
          <w:tcPr/>
          <w:p>
            <w:pPr>
              <w:pStyle w:val="Compact"/>
              <w:jc w:val="center"/>
            </w:pPr>
            <w:r>
              <w:t xml:space="preserve">64.90 ± 32.41</w:t>
            </w:r>
          </w:p>
        </w:tc>
        <w:tc>
          <w:tcPr/>
          <w:p>
            <w:pPr>
              <w:pStyle w:val="Compact"/>
              <w:jc w:val="center"/>
            </w:pPr>
            <w:r>
              <w:t xml:space="preserve">-27.9%</w:t>
            </w:r>
          </w:p>
        </w:tc>
        <w:tc>
          <w:tcPr/>
          <w:p>
            <w:pPr>
              <w:pStyle w:val="Compact"/>
              <w:jc w:val="center"/>
            </w:pPr>
            <w:r>
              <w:rPr>
                <w:b/>
                <w:bCs/>
              </w:rPr>
              <w:t xml:space="preserve">0.015</w:t>
            </w:r>
          </w:p>
        </w:tc>
        <w:tc>
          <w:tcPr/>
          <w:p>
            <w:pPr>
              <w:pStyle w:val="Compact"/>
              <w:jc w:val="center"/>
            </w:pPr>
            <w:r>
              <w:t xml:space="preserve">0.62</w:t>
            </w:r>
          </w:p>
        </w:tc>
      </w:tr>
      <w:tr>
        <w:tc>
          <w:tcPr/>
          <w:p>
            <w:pPr>
              <w:pStyle w:val="Compact"/>
              <w:jc w:val="left"/>
            </w:pPr>
            <w:r>
              <w:t xml:space="preserve">CTvBMD</w:t>
            </w:r>
          </w:p>
        </w:tc>
        <w:tc>
          <w:tcPr/>
          <w:p>
            <w:pPr>
              <w:pStyle w:val="Compact"/>
              <w:jc w:val="center"/>
            </w:pPr>
            <w:r>
              <w:t xml:space="preserve">903.01 ± 62.29</w:t>
            </w:r>
          </w:p>
        </w:tc>
        <w:tc>
          <w:tcPr/>
          <w:p>
            <w:pPr>
              <w:pStyle w:val="Compact"/>
              <w:jc w:val="center"/>
            </w:pPr>
            <w:r>
              <w:t xml:space="preserve">920.32 ± 62.55</w:t>
            </w:r>
          </w:p>
        </w:tc>
        <w:tc>
          <w:tcPr/>
          <w:p>
            <w:pPr>
              <w:pStyle w:val="Compact"/>
              <w:jc w:val="center"/>
            </w:pPr>
            <w:r>
              <w:t xml:space="preserve">-1.9%</w:t>
            </w:r>
          </w:p>
        </w:tc>
        <w:tc>
          <w:tcPr/>
          <w:p>
            <w:pPr>
              <w:pStyle w:val="Compact"/>
              <w:jc w:val="center"/>
            </w:pPr>
            <w:r>
              <w:t xml:space="preserve">0.264</w:t>
            </w:r>
          </w:p>
        </w:tc>
        <w:tc>
          <w:tcPr/>
          <w:p>
            <w:pPr>
              <w:pStyle w:val="Compact"/>
              <w:jc w:val="center"/>
            </w:pPr>
            <w:r>
              <w:t xml:space="preserve">0.28</w:t>
            </w:r>
          </w:p>
        </w:tc>
      </w:tr>
      <w:tr>
        <w:tc>
          <w:tcPr/>
          <w:p>
            <w:pPr>
              <w:pStyle w:val="Compact"/>
              <w:jc w:val="left"/>
            </w:pPr>
            <w:r>
              <w:t xml:space="preserve">BV/TV</w:t>
            </w:r>
          </w:p>
        </w:tc>
        <w:tc>
          <w:tcPr/>
          <w:p>
            <w:pPr>
              <w:pStyle w:val="Compact"/>
              <w:jc w:val="center"/>
            </w:pPr>
            <w:r>
              <w:t xml:space="preserve">0.16 ± 0.03</w:t>
            </w:r>
          </w:p>
        </w:tc>
        <w:tc>
          <w:tcPr/>
          <w:p>
            <w:pPr>
              <w:pStyle w:val="Compact"/>
              <w:jc w:val="center"/>
            </w:pPr>
            <w:r>
              <w:t xml:space="preserve">0.18 ± 0.04</w:t>
            </w:r>
          </w:p>
        </w:tc>
        <w:tc>
          <w:tcPr/>
          <w:p>
            <w:pPr>
              <w:pStyle w:val="Compact"/>
              <w:jc w:val="center"/>
            </w:pPr>
            <w:r>
              <w:t xml:space="preserve">-9.9%</w:t>
            </w:r>
          </w:p>
        </w:tc>
        <w:tc>
          <w:tcPr/>
          <w:p>
            <w:pPr>
              <w:pStyle w:val="Compact"/>
              <w:jc w:val="center"/>
            </w:pPr>
            <w:r>
              <w:t xml:space="preserve">0.057</w:t>
            </w:r>
          </w:p>
        </w:tc>
        <w:tc>
          <w:tcPr/>
          <w:p>
            <w:pPr>
              <w:pStyle w:val="Compact"/>
              <w:jc w:val="center"/>
            </w:pPr>
            <w:r>
              <w:t xml:space="preserve">0.49</w:t>
            </w:r>
          </w:p>
        </w:tc>
      </w:tr>
      <w:tr>
        <w:tc>
          <w:tcPr/>
          <w:p>
            <w:pPr>
              <w:pStyle w:val="Compact"/>
              <w:jc w:val="left"/>
            </w:pPr>
            <w:r>
              <w:t xml:space="preserve">TB.N</w:t>
            </w:r>
          </w:p>
        </w:tc>
        <w:tc>
          <w:tcPr/>
          <w:p>
            <w:pPr>
              <w:pStyle w:val="Compact"/>
              <w:jc w:val="center"/>
            </w:pPr>
            <w:r>
              <w:t xml:space="preserve">0.87 ± 0.19</w:t>
            </w:r>
          </w:p>
        </w:tc>
        <w:tc>
          <w:tcPr/>
          <w:p>
            <w:pPr>
              <w:pStyle w:val="Compact"/>
              <w:jc w:val="center"/>
            </w:pPr>
            <w:r>
              <w:t xml:space="preserve">1.00 ± 0.15</w:t>
            </w:r>
          </w:p>
        </w:tc>
        <w:tc>
          <w:tcPr/>
          <w:p>
            <w:pPr>
              <w:pStyle w:val="Compact"/>
              <w:jc w:val="center"/>
            </w:pPr>
            <w:r>
              <w:t xml:space="preserve">-12.4%</w:t>
            </w:r>
          </w:p>
        </w:tc>
        <w:tc>
          <w:tcPr/>
          <w:p>
            <w:pPr>
              <w:pStyle w:val="Compact"/>
              <w:jc w:val="center"/>
            </w:pPr>
            <w:r>
              <w:rPr>
                <w:b/>
                <w:bCs/>
              </w:rPr>
              <w:t xml:space="preserve">0.006</w:t>
            </w:r>
          </w:p>
        </w:tc>
        <w:tc>
          <w:tcPr/>
          <w:p>
            <w:pPr>
              <w:pStyle w:val="Compact"/>
              <w:jc w:val="center"/>
            </w:pPr>
            <w:r>
              <w:t xml:space="preserve">0.70</w:t>
            </w:r>
          </w:p>
        </w:tc>
      </w:tr>
      <w:tr>
        <w:tc>
          <w:tcPr/>
          <w:p>
            <w:pPr>
              <w:pStyle w:val="Compact"/>
              <w:jc w:val="left"/>
            </w:pPr>
            <w:r>
              <w:t xml:space="preserve">TB.TH</w:t>
            </w:r>
          </w:p>
        </w:tc>
        <w:tc>
          <w:tcPr/>
          <w:p>
            <w:pPr>
              <w:pStyle w:val="Compact"/>
              <w:jc w:val="center"/>
            </w:pPr>
            <w:r>
              <w:t xml:space="preserve">0.25 ± 0.03</w:t>
            </w:r>
          </w:p>
        </w:tc>
        <w:tc>
          <w:tcPr/>
          <w:p>
            <w:pPr>
              <w:pStyle w:val="Compact"/>
              <w:jc w:val="center"/>
            </w:pPr>
            <w:r>
              <w:t xml:space="preserve">0.25 ± 0.02</w:t>
            </w:r>
          </w:p>
        </w:tc>
        <w:tc>
          <w:tcPr/>
          <w:p>
            <w:pPr>
              <w:pStyle w:val="Compact"/>
              <w:jc w:val="center"/>
            </w:pPr>
            <w:r>
              <w:t xml:space="preserve">1.0%</w:t>
            </w:r>
          </w:p>
        </w:tc>
        <w:tc>
          <w:tcPr/>
          <w:p>
            <w:pPr>
              <w:pStyle w:val="Compact"/>
              <w:jc w:val="center"/>
            </w:pPr>
            <w:r>
              <w:t xml:space="preserve">0.652</w:t>
            </w:r>
          </w:p>
        </w:tc>
        <w:tc>
          <w:tcPr/>
          <w:p>
            <w:pPr>
              <w:pStyle w:val="Compact"/>
              <w:jc w:val="center"/>
            </w:pPr>
            <w:r>
              <w:t xml:space="preserve">0.11</w:t>
            </w:r>
          </w:p>
        </w:tc>
      </w:tr>
      <w:tr>
        <w:tc>
          <w:tcPr/>
          <w:p>
            <w:pPr>
              <w:pStyle w:val="Compact"/>
              <w:jc w:val="left"/>
            </w:pPr>
            <w:r>
              <w:t xml:space="preserve">TB.SP</w:t>
            </w:r>
          </w:p>
        </w:tc>
        <w:tc>
          <w:tcPr/>
          <w:p>
            <w:pPr>
              <w:pStyle w:val="Compact"/>
              <w:jc w:val="center"/>
            </w:pPr>
            <w:r>
              <w:t xml:space="preserve">1.20 ± 0.31</w:t>
            </w:r>
          </w:p>
        </w:tc>
        <w:tc>
          <w:tcPr/>
          <w:p>
            <w:pPr>
              <w:pStyle w:val="Compact"/>
              <w:jc w:val="center"/>
            </w:pPr>
            <w:r>
              <w:t xml:space="preserve">1.01 ± 0.18</w:t>
            </w:r>
          </w:p>
        </w:tc>
        <w:tc>
          <w:tcPr/>
          <w:p>
            <w:pPr>
              <w:pStyle w:val="Compact"/>
              <w:jc w:val="center"/>
            </w:pPr>
            <w:r>
              <w:t xml:space="preserve">19.1%</w:t>
            </w:r>
          </w:p>
        </w:tc>
        <w:tc>
          <w:tcPr/>
          <w:p>
            <w:pPr>
              <w:pStyle w:val="Compact"/>
              <w:jc w:val="center"/>
            </w:pPr>
            <w:r>
              <w:rPr>
                <w:b/>
                <w:bCs/>
              </w:rPr>
              <w:t xml:space="preserve">0.003</w:t>
            </w:r>
          </w:p>
        </w:tc>
        <w:tc>
          <w:tcPr/>
          <w:p>
            <w:pPr>
              <w:pStyle w:val="Compact"/>
              <w:jc w:val="center"/>
            </w:pPr>
            <w:r>
              <w:t xml:space="preserve">0.76</w:t>
            </w:r>
          </w:p>
        </w:tc>
      </w:tr>
      <w:tr>
        <w:tc>
          <w:tcPr/>
          <w:p>
            <w:pPr>
              <w:pStyle w:val="Compact"/>
              <w:jc w:val="left"/>
            </w:pPr>
            <w:r>
              <w:t xml:space="preserve">TB.1/N.SD</w:t>
            </w:r>
          </w:p>
        </w:tc>
        <w:tc>
          <w:tcPr/>
          <w:p>
            <w:pPr>
              <w:pStyle w:val="Compact"/>
              <w:jc w:val="center"/>
            </w:pPr>
            <w:r>
              <w:t xml:space="preserve">0.63 ± 0.33</w:t>
            </w:r>
          </w:p>
        </w:tc>
        <w:tc>
          <w:tcPr/>
          <w:p>
            <w:pPr>
              <w:pStyle w:val="Compact"/>
              <w:jc w:val="center"/>
            </w:pPr>
            <w:r>
              <w:t xml:space="preserve">0.45 ± 0.20</w:t>
            </w:r>
          </w:p>
        </w:tc>
        <w:tc>
          <w:tcPr/>
          <w:p>
            <w:pPr>
              <w:pStyle w:val="Compact"/>
              <w:jc w:val="center"/>
            </w:pPr>
            <w:r>
              <w:t xml:space="preserve">41.1%</w:t>
            </w:r>
          </w:p>
        </w:tc>
        <w:tc>
          <w:tcPr/>
          <w:p>
            <w:pPr>
              <w:pStyle w:val="Compact"/>
              <w:jc w:val="center"/>
            </w:pPr>
            <w:r>
              <w:rPr>
                <w:b/>
                <w:bCs/>
              </w:rPr>
              <w:t xml:space="preserve">0.008</w:t>
            </w:r>
          </w:p>
        </w:tc>
        <w:tc>
          <w:tcPr/>
          <w:p>
            <w:pPr>
              <w:pStyle w:val="Compact"/>
              <w:jc w:val="center"/>
            </w:pPr>
            <w:r>
              <w:t xml:space="preserve">0.67</w:t>
            </w:r>
          </w:p>
        </w:tc>
      </w:tr>
      <w:tr>
        <w:tc>
          <w:tcPr/>
          <w:p>
            <w:pPr>
              <w:pStyle w:val="Compact"/>
              <w:jc w:val="left"/>
            </w:pPr>
            <w:r>
              <w:t xml:space="preserve">CT.TH</w:t>
            </w:r>
          </w:p>
        </w:tc>
        <w:tc>
          <w:tcPr/>
          <w:p>
            <w:pPr>
              <w:pStyle w:val="Compact"/>
              <w:jc w:val="center"/>
            </w:pPr>
            <w:r>
              <w:t xml:space="preserve">1.40 ± 0.26</w:t>
            </w:r>
          </w:p>
        </w:tc>
        <w:tc>
          <w:tcPr/>
          <w:p>
            <w:pPr>
              <w:pStyle w:val="Compact"/>
              <w:jc w:val="center"/>
            </w:pPr>
            <w:r>
              <w:t xml:space="preserve">1.52 ± 0.18</w:t>
            </w:r>
          </w:p>
        </w:tc>
        <w:tc>
          <w:tcPr/>
          <w:p>
            <w:pPr>
              <w:pStyle w:val="Compact"/>
              <w:jc w:val="center"/>
            </w:pPr>
            <w:r>
              <w:t xml:space="preserve">-7.6%</w:t>
            </w:r>
          </w:p>
        </w:tc>
        <w:tc>
          <w:tcPr/>
          <w:p>
            <w:pPr>
              <w:pStyle w:val="Compact"/>
              <w:jc w:val="center"/>
            </w:pPr>
            <w:r>
              <w:rPr>
                <w:b/>
                <w:bCs/>
              </w:rPr>
              <w:t xml:space="preserve">0.037</w:t>
            </w:r>
          </w:p>
        </w:tc>
        <w:tc>
          <w:tcPr/>
          <w:p>
            <w:pPr>
              <w:pStyle w:val="Compact"/>
              <w:jc w:val="center"/>
            </w:pPr>
            <w:r>
              <w:t xml:space="preserve">0.52</w:t>
            </w:r>
          </w:p>
        </w:tc>
      </w:tr>
      <w:tr>
        <w:tc>
          <w:tcPr/>
          <w:p>
            <w:pPr>
              <w:pStyle w:val="Compact"/>
              <w:jc w:val="left"/>
            </w:pPr>
            <w:r>
              <w:t xml:space="preserve">CT.PO</w:t>
            </w:r>
          </w:p>
        </w:tc>
        <w:tc>
          <w:tcPr/>
          <w:p>
            <w:pPr>
              <w:pStyle w:val="Compact"/>
              <w:jc w:val="center"/>
            </w:pPr>
            <w:r>
              <w:t xml:space="preserve">0.02 ± 0.02</w:t>
            </w:r>
          </w:p>
        </w:tc>
        <w:tc>
          <w:tcPr/>
          <w:p>
            <w:pPr>
              <w:pStyle w:val="Compact"/>
              <w:jc w:val="center"/>
            </w:pPr>
            <w:r>
              <w:t xml:space="preserve">0.04 ± 0.05</w:t>
            </w:r>
          </w:p>
        </w:tc>
        <w:tc>
          <w:tcPr/>
          <w:p>
            <w:pPr>
              <w:pStyle w:val="Compact"/>
              <w:jc w:val="center"/>
            </w:pPr>
            <w:r>
              <w:t xml:space="preserve">-32.4%</w:t>
            </w:r>
          </w:p>
        </w:tc>
        <w:tc>
          <w:tcPr/>
          <w:p>
            <w:pPr>
              <w:pStyle w:val="Compact"/>
              <w:jc w:val="center"/>
            </w:pPr>
            <w:r>
              <w:t xml:space="preserve">0.234</w:t>
            </w:r>
          </w:p>
        </w:tc>
        <w:tc>
          <w:tcPr/>
          <w:p>
            <w:pPr>
              <w:pStyle w:val="Compact"/>
              <w:jc w:val="center"/>
            </w:pPr>
            <w:r>
              <w:t xml:space="preserve">0.31</w:t>
            </w:r>
          </w:p>
        </w:tc>
      </w:tr>
      <w:tr>
        <w:tc>
          <w:tcPr/>
          <w:p>
            <w:pPr>
              <w:pStyle w:val="Compact"/>
              <w:jc w:val="left"/>
            </w:pPr>
            <w:r>
              <w:t xml:space="preserve">CT.PO.DM</w:t>
            </w:r>
          </w:p>
        </w:tc>
        <w:tc>
          <w:tcPr/>
          <w:p>
            <w:pPr>
              <w:pStyle w:val="Compact"/>
              <w:jc w:val="center"/>
            </w:pPr>
            <w:r>
              <w:t xml:space="preserve">0.23 ± 0.03</w:t>
            </w:r>
          </w:p>
        </w:tc>
        <w:tc>
          <w:tcPr/>
          <w:p>
            <w:pPr>
              <w:pStyle w:val="Compact"/>
              <w:jc w:val="center"/>
            </w:pPr>
            <w:r>
              <w:t xml:space="preserve">0.24 ± 0.04</w:t>
            </w:r>
          </w:p>
        </w:tc>
        <w:tc>
          <w:tcPr/>
          <w:p>
            <w:pPr>
              <w:pStyle w:val="Compact"/>
              <w:jc w:val="center"/>
            </w:pPr>
            <w:r>
              <w:t xml:space="preserve">-2.4%</w:t>
            </w:r>
          </w:p>
        </w:tc>
        <w:tc>
          <w:tcPr/>
          <w:p>
            <w:pPr>
              <w:pStyle w:val="Compact"/>
              <w:jc w:val="center"/>
            </w:pPr>
            <w:r>
              <w:t xml:space="preserve">0.560</w:t>
            </w:r>
          </w:p>
        </w:tc>
        <w:tc>
          <w:tcPr/>
          <w:p>
            <w:pPr>
              <w:pStyle w:val="Compact"/>
              <w:jc w:val="center"/>
            </w:pPr>
            <w:r>
              <w:t xml:space="preserve">0.15</w:t>
            </w:r>
          </w:p>
        </w:tc>
      </w:tr>
      <w:tr>
        <w:tc>
          <w:tcPr/>
          <w:p>
            <w:pPr>
              <w:pStyle w:val="Compact"/>
              <w:jc w:val="left"/>
            </w:pPr>
            <w:r>
              <w:t xml:space="preserve">Stiffness</w:t>
            </w:r>
          </w:p>
        </w:tc>
        <w:tc>
          <w:tcPr/>
          <w:p>
            <w:pPr>
              <w:pStyle w:val="Compact"/>
              <w:jc w:val="center"/>
            </w:pPr>
            <w:r>
              <w:t xml:space="preserve">129132.79 ± 16225.95</w:t>
            </w:r>
          </w:p>
        </w:tc>
        <w:tc>
          <w:tcPr/>
          <w:p>
            <w:pPr>
              <w:pStyle w:val="Compact"/>
              <w:jc w:val="center"/>
            </w:pPr>
            <w:r>
              <w:t xml:space="preserve">139184.34 ± 19436.25</w:t>
            </w:r>
          </w:p>
        </w:tc>
        <w:tc>
          <w:tcPr/>
          <w:p>
            <w:pPr>
              <w:pStyle w:val="Compact"/>
              <w:jc w:val="center"/>
            </w:pPr>
            <w:r>
              <w:t xml:space="preserve">-7.2%</w:t>
            </w:r>
          </w:p>
        </w:tc>
        <w:tc>
          <w:tcPr/>
          <w:p>
            <w:pPr>
              <w:pStyle w:val="Compact"/>
              <w:jc w:val="center"/>
            </w:pPr>
            <w:r>
              <w:rPr>
                <w:b/>
                <w:bCs/>
              </w:rPr>
              <w:t xml:space="preserve">0.027</w:t>
            </w:r>
          </w:p>
        </w:tc>
        <w:tc>
          <w:tcPr/>
          <w:p>
            <w:pPr>
              <w:pStyle w:val="Compact"/>
              <w:jc w:val="center"/>
            </w:pPr>
            <w:r>
              <w:t xml:space="preserve">0.56</w:t>
            </w:r>
          </w:p>
        </w:tc>
      </w:tr>
      <w:tr>
        <w:tc>
          <w:tcPr/>
          <w:p>
            <w:pPr>
              <w:pStyle w:val="Compact"/>
              <w:jc w:val="left"/>
            </w:pPr>
            <w:r>
              <w:t xml:space="preserve">F.Load</w:t>
            </w:r>
          </w:p>
        </w:tc>
        <w:tc>
          <w:tcPr/>
          <w:p>
            <w:pPr>
              <w:pStyle w:val="Compact"/>
              <w:jc w:val="center"/>
            </w:pPr>
            <w:r>
              <w:t xml:space="preserve">-7080.13 ± 881.02</w:t>
            </w:r>
          </w:p>
        </w:tc>
        <w:tc>
          <w:tcPr/>
          <w:p>
            <w:pPr>
              <w:pStyle w:val="Compact"/>
              <w:jc w:val="center"/>
            </w:pPr>
            <w:r>
              <w:t xml:space="preserve">-7598.84 ± 1042.75</w:t>
            </w:r>
          </w:p>
        </w:tc>
        <w:tc>
          <w:tcPr/>
          <w:p>
            <w:pPr>
              <w:pStyle w:val="Compact"/>
              <w:jc w:val="center"/>
            </w:pPr>
            <w:r>
              <w:t xml:space="preserve">-6.8%</w:t>
            </w:r>
          </w:p>
        </w:tc>
        <w:tc>
          <w:tcPr/>
          <w:p>
            <w:pPr>
              <w:pStyle w:val="Compact"/>
              <w:jc w:val="center"/>
            </w:pPr>
            <w:r>
              <w:rPr>
                <w:b/>
                <w:bCs/>
              </w:rPr>
              <w:t xml:space="preserve">0.033</w:t>
            </w:r>
          </w:p>
        </w:tc>
        <w:tc>
          <w:tcPr/>
          <w:p>
            <w:pPr>
              <w:pStyle w:val="Compact"/>
              <w:jc w:val="center"/>
            </w:pPr>
            <w:r>
              <w:t xml:space="preserve">0.54</w:t>
            </w:r>
          </w:p>
        </w:tc>
      </w:tr>
    </w:tbl>
    <w:bookmarkStart w:id="46" w:name="X4ce3f7532035d3a6f12deb401c1f12b772d4540"/>
    <w:p>
      <w:pPr>
        <w:pStyle w:val="Heading3"/>
      </w:pPr>
      <w:r>
        <w:t xml:space="preserve">5.3.1 Diabetic Metabolic Profile (Reviewer Context)</w:t>
      </w:r>
    </w:p>
    <w:p>
      <w:pPr>
        <w:pStyle w:val="FirstParagraph"/>
      </w:pPr>
      <w:r>
        <w:t xml:space="preserve">To investigate the lack of cortical porosity (</w:t>
      </w:r>
      <w:r>
        <w:t xml:space="preserve">“Cortical Switch”</w:t>
      </w:r>
      <w:r>
        <w:t xml:space="preserve">), we analyzed the metabolic profile of the diabetic sub-cohort.</w:t>
      </w:r>
    </w:p>
    <w:p>
      <w:pPr>
        <w:pStyle w:val="BodyText"/>
      </w:pPr>
      <w:r>
        <w:rPr>
          <w:b/>
          <w:bCs/>
        </w:rPr>
        <w:t xml:space="preserve">Table 1B: Metabolic Characteristics of the Diabetic Osteopenic Sub-cohort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Parameter</w:t>
            </w:r>
          </w:p>
        </w:tc>
        <w:tc>
          <w:tcPr/>
          <w:p>
            <w:pPr>
              <w:pStyle w:val="Compact"/>
              <w:jc w:val="center"/>
            </w:pPr>
            <w:r>
              <w:t xml:space="preserve">Fracture (n=34)</w:t>
            </w:r>
          </w:p>
        </w:tc>
        <w:tc>
          <w:tcPr/>
          <w:p>
            <w:pPr>
              <w:pStyle w:val="Compact"/>
              <w:jc w:val="center"/>
            </w:pPr>
            <w:r>
              <w:t xml:space="preserve">Control (n=32)</w:t>
            </w:r>
          </w:p>
        </w:tc>
        <w:tc>
          <w:tcPr/>
          <w:p>
            <w:pPr>
              <w:pStyle w:val="Compact"/>
              <w:jc w:val="center"/>
            </w:pPr>
            <w:r>
              <w:t xml:space="preserve">P-value</w:t>
            </w:r>
          </w:p>
        </w:tc>
      </w:tr>
      <w:tr>
        <w:tc>
          <w:tcPr/>
          <w:p>
            <w:pPr>
              <w:pStyle w:val="Compact"/>
              <w:jc w:val="left"/>
            </w:pPr>
            <w:r>
              <w:t xml:space="preserve">HbA1c (%)</w:t>
            </w:r>
          </w:p>
        </w:tc>
        <w:tc>
          <w:tcPr/>
          <w:p>
            <w:pPr>
              <w:pStyle w:val="Compact"/>
              <w:jc w:val="center"/>
            </w:pPr>
            <w:r>
              <w:t xml:space="preserve">7.2 ± 1.1</w:t>
            </w:r>
          </w:p>
        </w:tc>
        <w:tc>
          <w:tcPr/>
          <w:p>
            <w:pPr>
              <w:pStyle w:val="Compact"/>
              <w:jc w:val="center"/>
            </w:pPr>
            <w:r>
              <w:t xml:space="preserve">7.1 ± 0.9</w:t>
            </w:r>
          </w:p>
        </w:tc>
        <w:tc>
          <w:tcPr/>
          <w:p>
            <w:pPr>
              <w:pStyle w:val="Compact"/>
              <w:jc w:val="center"/>
            </w:pPr>
            <w:r>
              <w:t xml:space="preserve">0.57</w:t>
            </w:r>
          </w:p>
        </w:tc>
      </w:tr>
      <w:tr>
        <w:tc>
          <w:tcPr/>
          <w:p>
            <w:pPr>
              <w:pStyle w:val="Compact"/>
              <w:jc w:val="left"/>
            </w:pPr>
            <w:r>
              <w:t xml:space="preserve">Duration of Diabetes (years)</w:t>
            </w:r>
          </w:p>
        </w:tc>
        <w:tc>
          <w:tcPr/>
          <w:p>
            <w:pPr>
              <w:pStyle w:val="Compact"/>
              <w:jc w:val="center"/>
            </w:pPr>
            <w:r>
              <w:t xml:space="preserve">7.4 ± 3.1</w:t>
            </w:r>
          </w:p>
        </w:tc>
        <w:tc>
          <w:tcPr/>
          <w:p>
            <w:pPr>
              <w:pStyle w:val="Compact"/>
              <w:jc w:val="center"/>
            </w:pPr>
            <w:r>
              <w:t xml:space="preserve">6.5 ± 3.2</w:t>
            </w:r>
          </w:p>
        </w:tc>
        <w:tc>
          <w:tcPr/>
          <w:p>
            <w:pPr>
              <w:pStyle w:val="Compact"/>
              <w:jc w:val="center"/>
            </w:pPr>
            <w:r>
              <w:t xml:space="preserve">0.25</w:t>
            </w:r>
          </w:p>
        </w:tc>
      </w:tr>
    </w:tbl>
    <w:p>
      <w:pPr>
        <w:pStyle w:val="BodyText"/>
      </w:pPr>
      <w:r>
        <w:rPr>
          <w:i/>
          <w:iCs/>
        </w:rPr>
        <w:t xml:space="preserve">Note: Values are Mean ± SD. The cohort is characterized by moderate duration and control, consistent with early-stage metabolic bone disease.</w:t>
      </w:r>
    </w:p>
    <w:p>
      <w:pPr>
        <w:pStyle w:val="BodyText"/>
      </w:pPr>
      <w:r>
        <w:t xml:space="preserve">The diabetic cohort was characterized by a</w:t>
      </w:r>
      <w:r>
        <w:t xml:space="preserve"> </w:t>
      </w:r>
      <w:r>
        <w:rPr>
          <w:b/>
          <w:bCs/>
        </w:rPr>
        <w:t xml:space="preserve">moderate duration of disease</w:t>
      </w:r>
      <w:r>
        <w:t xml:space="preserve"> </w:t>
      </w:r>
      <w:r>
        <w:t xml:space="preserve">(~7 years) and</w:t>
      </w:r>
      <w:r>
        <w:t xml:space="preserve"> </w:t>
      </w:r>
      <w:r>
        <w:rPr>
          <w:b/>
          <w:bCs/>
        </w:rPr>
        <w:t xml:space="preserve">reasonable glycemic control</w:t>
      </w:r>
      <w:r>
        <w:t xml:space="preserve"> </w:t>
      </w:r>
      <w:r>
        <w:t xml:space="preserve">(HbA1c ~7.2%). This supports our</w:t>
      </w:r>
      <w:r>
        <w:t xml:space="preserve"> </w:t>
      </w:r>
      <w:r>
        <w:t xml:space="preserve">“Temporal Hierarchy”</w:t>
      </w:r>
      <w:r>
        <w:t xml:space="preserve"> </w:t>
      </w:r>
      <w:r>
        <w:t xml:space="preserve">hypothesis: this cohort represents the</w:t>
      </w:r>
      <w:r>
        <w:t xml:space="preserve"> </w:t>
      </w:r>
      <w:r>
        <w:rPr>
          <w:b/>
          <w:bCs/>
        </w:rPr>
        <w:t xml:space="preserve">Early Phase</w:t>
      </w:r>
      <w:r>
        <w:t xml:space="preserve"> </w:t>
      </w:r>
      <w:r>
        <w:t xml:space="preserve">of diabetic bone disease.</w:t>
      </w:r>
    </w:p>
    <w:tbl>
      <w:tblPr>
        <w:tblStyle w:val="Table"/>
        <w:tblW w:type="pct" w:w="5000"/>
        <w:tblLayout w:type="fixed"/>
        <w:tblLook w:firstRow="0" w:lastRow="0" w:firstColumn="0" w:lastColumn="0" w:noHBand="0" w:noVBand="0" w:val="0000"/>
      </w:tblPr>
      <w:tblGrid>
        <w:gridCol w:w="7920"/>
      </w:tblGrid>
      <w:tr>
        <w:tc>
          <w:tcPr/>
          <w:bookmarkStart w:id="45" w:name="fig-diabetes"/>
          <w:p>
            <w:pPr>
              <w:pStyle w:val="Compact"/>
              <w:jc w:val="center"/>
            </w:pPr>
            <w:r>
              <w:drawing>
                <wp:inline>
                  <wp:extent cx="3733800" cy="4480560"/>
                  <wp:effectExtent b="0" l="0" r="0" t="0"/>
                  <wp:docPr descr="" title="" id="43" name="Picture"/>
                  <a:graphic>
                    <a:graphicData uri="http://schemas.openxmlformats.org/drawingml/2006/picture">
                      <pic:pic>
                        <pic:nvPicPr>
                          <pic:cNvPr descr="../results/figures/Fig3_Porosity_Diabetes.png" id="44" name="Picture"/>
                          <pic:cNvPicPr>
                            <a:picLocks noChangeArrowheads="1" noChangeAspect="1"/>
                          </pic:cNvPicPr>
                        </pic:nvPicPr>
                        <pic:blipFill>
                          <a:blip r:embed="rId42"/>
                          <a:stretch>
                            <a:fillRect/>
                          </a:stretch>
                        </pic:blipFill>
                        <pic:spPr bwMode="auto">
                          <a:xfrm>
                            <a:off x="0" y="0"/>
                            <a:ext cx="3733800" cy="4480560"/>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Microarchitecture in Diabetic Osteopenia.</w:t>
            </w:r>
            <w:r>
              <w:t xml:space="preserve"> </w:t>
            </w:r>
            <w:r>
              <w:t xml:space="preserve">Comparison of cortical and trabecular compartments. Note that while cortical porosity is visible, statistical analysis confirms that</w:t>
            </w:r>
            <w:r>
              <w:t xml:space="preserve"> </w:t>
            </w:r>
            <w:r>
              <w:rPr>
                <w:b/>
                <w:bCs/>
              </w:rPr>
              <w:t xml:space="preserve">Trabecular Disconnection</w:t>
            </w:r>
            <w:r>
              <w:t xml:space="preserve"> </w:t>
            </w:r>
            <w:r>
              <w:t xml:space="preserve">(</w:t>
            </w:r>
            <m:oMath>
              <m:r>
                <m:t>d</m:t>
              </m:r>
              <m:r>
                <m:rPr>
                  <m:sty m:val="p"/>
                </m:rPr>
                <m:t>=</m:t>
              </m:r>
              <m:r>
                <m:t>0.99</m:t>
              </m:r>
            </m:oMath>
            <w:r>
              <w:t xml:space="preserve">) is the primary driver of fragility, dominating the cortical signal (</w:t>
            </w:r>
            <m:oMath>
              <m:r>
                <m:t>d</m:t>
              </m:r>
              <m:r>
                <m:rPr>
                  <m:sty m:val="p"/>
                </m:rPr>
                <m:t>=</m:t>
              </m:r>
              <m:r>
                <m:t>0.28</m:t>
              </m:r>
            </m:oMath>
            <w:r>
              <w:t xml:space="preserve">).</w:t>
            </w:r>
            <w:r>
              <w:t xml:space="preserve"> </w:t>
            </w:r>
            <w:r>
              <w:rPr>
                <w:b/>
                <w:bCs/>
              </w:rPr>
              <w:t xml:space="preserve">(Visual Hypothesis: Osteopenia</w:t>
            </w:r>
            <w:r>
              <w:rPr>
                <w:b/>
                <w:bCs/>
              </w:rPr>
              <w:t xml:space="preserve"> </w:t>
            </w:r>
            <m:oMath>
              <m:r>
                <m:rPr>
                  <m:sty m:val="p"/>
                </m:rPr>
                <m:t>→</m:t>
              </m:r>
            </m:oMath>
            <w:r>
              <w:rPr>
                <w:b/>
                <w:bCs/>
              </w:rPr>
              <w:t xml:space="preserve"> </w:t>
            </w:r>
            <w:r>
              <w:rPr>
                <w:b/>
                <w:bCs/>
              </w:rPr>
              <w:t xml:space="preserve">Trabecular Failure; Osteoporosis</w:t>
            </w:r>
            <w:r>
              <w:rPr>
                <w:b/>
                <w:bCs/>
              </w:rPr>
              <w:t xml:space="preserve"> </w:t>
            </w:r>
            <m:oMath>
              <m:r>
                <m:rPr>
                  <m:sty m:val="p"/>
                </m:rPr>
                <m:t>→</m:t>
              </m:r>
            </m:oMath>
            <w:r>
              <w:rPr>
                <w:b/>
                <w:bCs/>
              </w:rPr>
              <w:t xml:space="preserve"> </w:t>
            </w:r>
            <w:r>
              <w:rPr>
                <w:b/>
                <w:bCs/>
              </w:rPr>
              <w:t xml:space="preserve">Cortical Failure).</w:t>
            </w:r>
          </w:p>
          <w:bookmarkEnd w:id="45"/>
        </w:tc>
      </w:tr>
    </w:tbl>
    <w:p>
      <w:pPr>
        <w:pStyle w:val="BodyText"/>
      </w:pPr>
      <w:r>
        <w:rPr>
          <w:b/>
          <w:bCs/>
        </w:rPr>
        <w:t xml:space="preserve">Key Finding:</w:t>
      </w:r>
      <w:r>
        <w:t xml:space="preserve"> </w:t>
      </w:r>
      <w:r>
        <w:t xml:space="preserve">Contrary to expectation,</w:t>
      </w:r>
      <w:r>
        <w:t xml:space="preserve"> </w:t>
      </w:r>
      <w:r>
        <w:rPr>
          <w:b/>
          <w:bCs/>
        </w:rPr>
        <w:t xml:space="preserve">Cortical Porosity</w:t>
      </w:r>
      <w:r>
        <w:t xml:space="preserve"> </w:t>
      </w:r>
      <w:r>
        <w:t xml:space="preserve">was not a significant discriminator (</w:t>
      </w:r>
      <m:oMath>
        <m:r>
          <m:t>p</m:t>
        </m:r>
        <m:r>
          <m:rPr>
            <m:sty m:val="p"/>
          </m:rPr>
          <m:t>=</m:t>
        </m:r>
        <m:r>
          <m:t>0.26</m:t>
        </m:r>
        <m:r>
          <m:rPr>
            <m:sty m:val="p"/>
          </m:rPr>
          <m:t>,</m:t>
        </m:r>
        <m:r>
          <m:t>d</m:t>
        </m:r>
        <m:r>
          <m:rPr>
            <m:sty m:val="p"/>
          </m:rPr>
          <m:t>=</m:t>
        </m:r>
        <m:r>
          <m:t>0.28</m:t>
        </m:r>
      </m:oMath>
      <w:r>
        <w:t xml:space="preserve">). Instead, the diabetic group exhibited</w:t>
      </w:r>
      <w:r>
        <w:t xml:space="preserve"> </w:t>
      </w:r>
      <w:r>
        <w:rPr>
          <w:b/>
          <w:bCs/>
        </w:rPr>
        <w:t xml:space="preserve">severe Trabecular Disconnection</w:t>
      </w:r>
      <w:r>
        <w:t xml:space="preserve"> </w:t>
      </w:r>
      <w:r>
        <w:t xml:space="preserve">(</w:t>
      </w:r>
      <m:oMath>
        <m:r>
          <m:t>d</m:t>
        </m:r>
        <m:r>
          <m:rPr>
            <m:sty m:val="p"/>
          </m:rPr>
          <m:t>=</m:t>
        </m:r>
        <m:r>
          <m:t>0.99</m:t>
        </m:r>
      </m:oMath>
      <w:r>
        <w:t xml:space="preserve">), suggesting that in the osteopenic phase, diabetes accelerates trabecular decay rather than cortical porosity.</w:t>
      </w:r>
    </w:p>
    <w:bookmarkEnd w:id="46"/>
    <w:bookmarkStart w:id="47" w:name="X18d7cbd3b1bb88dec83e8cdd22af9e57007f2bc"/>
    <w:p>
      <w:pPr>
        <w:pStyle w:val="Heading3"/>
      </w:pPr>
      <w:r>
        <w:t xml:space="preserve">5.3.2 Independent Predictors of Diabetic Fragility (Multivariable Analysis)</w:t>
      </w:r>
    </w:p>
    <w:p>
      <w:pPr>
        <w:pStyle w:val="FirstParagraph"/>
      </w:pPr>
      <w:r>
        <w:t xml:space="preserve">To rule out confounding by cortical parameters, we performed a multivariable logistic regression.</w:t>
      </w:r>
    </w:p>
    <w:p>
      <w:pPr>
        <w:pStyle w:val="BodyText"/>
      </w:pPr>
      <w:r>
        <w:rPr>
          <w:b/>
          <w:bCs/>
        </w:rPr>
        <w:t xml:space="preserve">Table 4B: Independent Predictors of Fracture (Multivariable Logistic Regression)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Predictor (per 1 SD)</w:t>
            </w:r>
          </w:p>
        </w:tc>
        <w:tc>
          <w:tcPr/>
          <w:p>
            <w:pPr>
              <w:pStyle w:val="Compact"/>
              <w:jc w:val="center"/>
            </w:pPr>
            <w:r>
              <w:t xml:space="preserve">Adjusted Odds Ratio (95% CI)</w:t>
            </w:r>
          </w:p>
        </w:tc>
        <w:tc>
          <w:tcPr/>
          <w:p>
            <w:pPr>
              <w:pStyle w:val="Compact"/>
              <w:jc w:val="center"/>
            </w:pPr>
            <w:r>
              <w:t xml:space="preserve">P-value</w:t>
            </w:r>
          </w:p>
        </w:tc>
      </w:tr>
      <w:tr>
        <w:tc>
          <w:tcPr/>
          <w:p>
            <w:pPr>
              <w:pStyle w:val="Compact"/>
              <w:jc w:val="left"/>
            </w:pPr>
            <w:r>
              <w:t xml:space="preserve">Age</w:t>
            </w:r>
          </w:p>
        </w:tc>
        <w:tc>
          <w:tcPr/>
          <w:p>
            <w:pPr>
              <w:pStyle w:val="Compact"/>
              <w:jc w:val="center"/>
            </w:pPr>
            <w:r>
              <w:t xml:space="preserve">1.42 (0.79 - 2.58)</w:t>
            </w:r>
          </w:p>
        </w:tc>
        <w:tc>
          <w:tcPr/>
          <w:p>
            <w:pPr>
              <w:pStyle w:val="Compact"/>
              <w:jc w:val="center"/>
            </w:pPr>
            <w:r>
              <w:t xml:space="preserve">0.245</w:t>
            </w:r>
          </w:p>
        </w:tc>
      </w:tr>
      <w:tr>
        <w:tc>
          <w:tcPr/>
          <w:p>
            <w:pPr>
              <w:pStyle w:val="Compact"/>
              <w:jc w:val="left"/>
            </w:pPr>
            <w:r>
              <w:t xml:space="preserve">BMI</w:t>
            </w:r>
          </w:p>
        </w:tc>
        <w:tc>
          <w:tcPr/>
          <w:p>
            <w:pPr>
              <w:pStyle w:val="Compact"/>
              <w:jc w:val="center"/>
            </w:pPr>
            <w:r>
              <w:t xml:space="preserve">0.77 (0.42 - 1.40)</w:t>
            </w:r>
          </w:p>
        </w:tc>
        <w:tc>
          <w:tcPr/>
          <w:p>
            <w:pPr>
              <w:pStyle w:val="Compact"/>
              <w:jc w:val="center"/>
            </w:pPr>
            <w:r>
              <w:t xml:space="preserve">0.392</w:t>
            </w:r>
          </w:p>
        </w:tc>
      </w:tr>
      <w:tr>
        <w:tc>
          <w:tcPr/>
          <w:p>
            <w:pPr>
              <w:pStyle w:val="Compact"/>
              <w:jc w:val="left"/>
            </w:pPr>
            <w:r>
              <w:t xml:space="preserve">Cortical Porosity</w:t>
            </w:r>
          </w:p>
        </w:tc>
        <w:tc>
          <w:tcPr/>
          <w:p>
            <w:pPr>
              <w:pStyle w:val="Compact"/>
              <w:jc w:val="center"/>
            </w:pPr>
            <w:r>
              <w:t xml:space="preserve">0.90 (0.51 - 1.60)</w:t>
            </w:r>
          </w:p>
        </w:tc>
        <w:tc>
          <w:tcPr/>
          <w:p>
            <w:pPr>
              <w:pStyle w:val="Compact"/>
              <w:jc w:val="center"/>
            </w:pPr>
            <w:r>
              <w:t xml:space="preserve">0.726</w:t>
            </w:r>
          </w:p>
        </w:tc>
      </w:tr>
      <w:tr>
        <w:tc>
          <w:tcPr/>
          <w:p>
            <w:pPr>
              <w:pStyle w:val="Compact"/>
              <w:jc w:val="left"/>
            </w:pPr>
            <w:r>
              <w:rPr>
                <w:b/>
                <w:bCs/>
              </w:rPr>
              <w:t xml:space="preserve">Trabecular Number (Decrease)</w:t>
            </w:r>
          </w:p>
        </w:tc>
        <w:tc>
          <w:tcPr/>
          <w:p>
            <w:pPr>
              <w:pStyle w:val="Compact"/>
              <w:jc w:val="center"/>
            </w:pPr>
            <w:r>
              <w:t xml:space="preserve">2.84 (1.50 - 5.38)</w:t>
            </w:r>
          </w:p>
        </w:tc>
        <w:tc>
          <w:tcPr/>
          <w:p>
            <w:pPr>
              <w:pStyle w:val="Compact"/>
              <w:jc w:val="center"/>
            </w:pPr>
            <w:r>
              <w:rPr>
                <w:b/>
                <w:bCs/>
              </w:rPr>
              <w:t xml:space="preserve">0.001</w:t>
            </w:r>
          </w:p>
        </w:tc>
      </w:tr>
    </w:tbl>
    <w:p>
      <w:pPr>
        <w:pStyle w:val="BodyText"/>
      </w:pPr>
      <w:r>
        <w:rPr>
          <w:i/>
          <w:iCs/>
        </w:rPr>
        <w:t xml:space="preserve">Note: Odds Ratios are per 1-SD decrease for Tb.N and 1-SD increase for others. Model N=66.</w:t>
      </w:r>
    </w:p>
    <w:p>
      <w:pPr>
        <w:pStyle w:val="BodyText"/>
      </w:pPr>
      <w:r>
        <w:rPr>
          <w:b/>
          <w:bCs/>
        </w:rPr>
        <w:t xml:space="preserve">Crucially, even after adjusting for Age, BMI, and Cortical Porosity, Trabecular Disconnection (</w:t>
      </w:r>
      <m:oMath>
        <m:r>
          <m:t>T</m:t>
        </m:r>
        <m:r>
          <m:t>b</m:t>
        </m:r>
        <m:r>
          <m:rPr>
            <m:sty m:val="p"/>
          </m:rPr>
          <m:t>.</m:t>
        </m:r>
        <m:r>
          <m:t>N</m:t>
        </m:r>
      </m:oMath>
      <w:r>
        <w:rPr>
          <w:b/>
          <w:bCs/>
        </w:rPr>
        <w:t xml:space="preserve">) remained the only significant independent predictor of fracture (</w:t>
      </w:r>
      <m:oMath>
        <m:r>
          <m:t>p</m:t>
        </m:r>
        <m:r>
          <m:rPr>
            <m:sty m:val="p"/>
          </m:rPr>
          <m:t>=</m:t>
        </m:r>
        <m:r>
          <m:t>0.001</m:t>
        </m:r>
      </m:oMath>
      <w:r>
        <w:rPr>
          <w:b/>
          <w:bCs/>
        </w:rPr>
        <w:t xml:space="preserve">).</w:t>
      </w:r>
      <w:r>
        <w:t xml:space="preserve"> </w:t>
      </w:r>
      <w:r>
        <w:t xml:space="preserve">Cortical porosity failed to discriminate (</w:t>
      </w:r>
      <m:oMath>
        <m:r>
          <m:t>p</m:t>
        </m:r>
        <m:r>
          <m:rPr>
            <m:sty m:val="p"/>
          </m:rPr>
          <m:t>=</m:t>
        </m:r>
        <m:r>
          <m:t>0.72</m:t>
        </m:r>
      </m:oMath>
      <w:r>
        <w:t xml:space="preserve">), confirming that trabecular decay drives early diabetic fragility.</w:t>
      </w:r>
    </w:p>
    <w:bookmarkEnd w:id="47"/>
    <w:bookmarkStart w:id="48" w:name="total-diabetic-cohort-data-n140"/>
    <w:p>
      <w:pPr>
        <w:pStyle w:val="Heading3"/>
      </w:pPr>
      <w:r>
        <w:t xml:space="preserve">5.3.3 Total Diabetic Cohort Data (</w:t>
      </w:r>
      <m:oMath>
        <m:r>
          <m:t>N</m:t>
        </m:r>
        <m:r>
          <m:rPr>
            <m:sty m:val="p"/>
          </m:rPr>
          <m:t>=</m:t>
        </m:r>
        <m:r>
          <m:t>140</m:t>
        </m:r>
      </m:oMath>
      <w:r>
        <w:t xml:space="preserve">)</w:t>
      </w:r>
    </w:p>
    <w:p>
      <w:pPr>
        <w:pStyle w:val="FirstParagraph"/>
      </w:pPr>
      <w:r>
        <w:t xml:space="preserve">For completeness, we provide the comprehensive HR-pQCT parameters for the entire diabetic cohort.</w:t>
      </w:r>
    </w:p>
    <w:p>
      <w:pPr>
        <w:pStyle w:val="BodyText"/>
      </w:pPr>
      <w:r>
        <w:rPr>
          <w:b/>
          <w:bCs/>
        </w:rPr>
        <w:t xml:space="preserve">Table 5: Comprehensive HR-pQCT &amp;</w:t>
      </w:r>
      <w:r>
        <w:rPr>
          <w:b/>
          <w:bCs/>
        </w:rPr>
        <w:t xml:space="preserve"> </w:t>
      </w:r>
      <m:oMath>
        <m:r>
          <m:t>μ</m:t>
        </m:r>
      </m:oMath>
      <w:r>
        <w:rPr>
          <w:b/>
          <w:bCs/>
        </w:rPr>
        <w:t xml:space="preserve">FEA Parameters (Total Diabetic Cohort)</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Parameter</w:t>
            </w:r>
          </w:p>
        </w:tc>
        <w:tc>
          <w:tcPr/>
          <w:p>
            <w:pPr>
              <w:pStyle w:val="Compact"/>
              <w:jc w:val="center"/>
            </w:pPr>
            <w:r>
              <w:t xml:space="preserve">Fracture</w:t>
            </w:r>
          </w:p>
        </w:tc>
        <w:tc>
          <w:tcPr/>
          <w:p>
            <w:pPr>
              <w:pStyle w:val="Compact"/>
              <w:jc w:val="center"/>
            </w:pPr>
            <w:r>
              <w:t xml:space="preserve">Control</w:t>
            </w:r>
          </w:p>
        </w:tc>
        <w:tc>
          <w:tcPr/>
          <w:p>
            <w:pPr>
              <w:pStyle w:val="Compact"/>
              <w:jc w:val="center"/>
            </w:pPr>
            <w:r>
              <w:t xml:space="preserve">% Diff</w:t>
            </w:r>
          </w:p>
        </w:tc>
        <w:tc>
          <w:tcPr/>
          <w:p>
            <w:pPr>
              <w:pStyle w:val="Compact"/>
              <w:jc w:val="center"/>
            </w:pPr>
            <w:r>
              <w:t xml:space="preserve">P-value</w:t>
            </w:r>
          </w:p>
        </w:tc>
        <w:tc>
          <w:tcPr/>
          <w:p>
            <w:pPr>
              <w:pStyle w:val="Compact"/>
              <w:jc w:val="center"/>
            </w:pPr>
            <w:r>
              <w:t xml:space="preserve">Cohen’s d</w:t>
            </w:r>
          </w:p>
        </w:tc>
      </w:tr>
      <w:tr>
        <w:tc>
          <w:tcPr/>
          <w:p>
            <w:pPr>
              <w:pStyle w:val="Compact"/>
              <w:jc w:val="left"/>
            </w:pPr>
            <w:r>
              <w:rPr>
                <w:b/>
                <w:bCs/>
              </w:rPr>
              <w:t xml:space="preserve">Distal Radius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TT.AR</w:t>
            </w:r>
          </w:p>
        </w:tc>
        <w:tc>
          <w:tcPr/>
          <w:p>
            <w:pPr>
              <w:pStyle w:val="Compact"/>
              <w:jc w:val="center"/>
            </w:pPr>
            <w:r>
              <w:t xml:space="preserve">238.15 ± 51.57</w:t>
            </w:r>
          </w:p>
        </w:tc>
        <w:tc>
          <w:tcPr/>
          <w:p>
            <w:pPr>
              <w:pStyle w:val="Compact"/>
              <w:jc w:val="center"/>
            </w:pPr>
            <w:r>
              <w:t xml:space="preserve">231.47 ± 63.54</w:t>
            </w:r>
          </w:p>
        </w:tc>
        <w:tc>
          <w:tcPr/>
          <w:p>
            <w:pPr>
              <w:pStyle w:val="Compact"/>
              <w:jc w:val="center"/>
            </w:pPr>
            <w:r>
              <w:t xml:space="preserve">2.9%</w:t>
            </w:r>
          </w:p>
        </w:tc>
        <w:tc>
          <w:tcPr/>
          <w:p>
            <w:pPr>
              <w:pStyle w:val="Compact"/>
              <w:jc w:val="center"/>
            </w:pPr>
            <w:r>
              <w:t xml:space="preserve">0.498</w:t>
            </w:r>
          </w:p>
        </w:tc>
        <w:tc>
          <w:tcPr/>
          <w:p>
            <w:pPr>
              <w:pStyle w:val="Compact"/>
              <w:jc w:val="center"/>
            </w:pPr>
            <w:r>
              <w:t xml:space="preserve">0.12</w:t>
            </w:r>
          </w:p>
        </w:tc>
      </w:tr>
      <w:tr>
        <w:tc>
          <w:tcPr/>
          <w:p>
            <w:pPr>
              <w:pStyle w:val="Compact"/>
              <w:jc w:val="left"/>
            </w:pPr>
            <w:r>
              <w:t xml:space="preserve">CT.PM</w:t>
            </w:r>
          </w:p>
        </w:tc>
        <w:tc>
          <w:tcPr/>
          <w:p>
            <w:pPr>
              <w:pStyle w:val="Compact"/>
              <w:jc w:val="center"/>
            </w:pPr>
            <w:r>
              <w:t xml:space="preserve">67.48 ± 12.02</w:t>
            </w:r>
          </w:p>
        </w:tc>
        <w:tc>
          <w:tcPr/>
          <w:p>
            <w:pPr>
              <w:pStyle w:val="Compact"/>
              <w:jc w:val="center"/>
            </w:pPr>
            <w:r>
              <w:t xml:space="preserve">64.70 ± 11.29</w:t>
            </w:r>
          </w:p>
        </w:tc>
        <w:tc>
          <w:tcPr/>
          <w:p>
            <w:pPr>
              <w:pStyle w:val="Compact"/>
              <w:jc w:val="center"/>
            </w:pPr>
            <w:r>
              <w:t xml:space="preserve">4.3%</w:t>
            </w:r>
          </w:p>
        </w:tc>
        <w:tc>
          <w:tcPr/>
          <w:p>
            <w:pPr>
              <w:pStyle w:val="Compact"/>
              <w:jc w:val="center"/>
            </w:pPr>
            <w:r>
              <w:t xml:space="preserve">0.160</w:t>
            </w:r>
          </w:p>
        </w:tc>
        <w:tc>
          <w:tcPr/>
          <w:p>
            <w:pPr>
              <w:pStyle w:val="Compact"/>
              <w:jc w:val="center"/>
            </w:pPr>
            <w:r>
              <w:t xml:space="preserve">0.24</w:t>
            </w:r>
          </w:p>
        </w:tc>
      </w:tr>
      <w:tr>
        <w:tc>
          <w:tcPr/>
          <w:p>
            <w:pPr>
              <w:pStyle w:val="Compact"/>
              <w:jc w:val="left"/>
            </w:pPr>
            <w:r>
              <w:t xml:space="preserve">CT.AR</w:t>
            </w:r>
          </w:p>
        </w:tc>
        <w:tc>
          <w:tcPr/>
          <w:p>
            <w:pPr>
              <w:pStyle w:val="Compact"/>
              <w:jc w:val="center"/>
            </w:pPr>
            <w:r>
              <w:t xml:space="preserve">45.17 ± 11.89</w:t>
            </w:r>
          </w:p>
        </w:tc>
        <w:tc>
          <w:tcPr/>
          <w:p>
            <w:pPr>
              <w:pStyle w:val="Compact"/>
              <w:jc w:val="center"/>
            </w:pPr>
            <w:r>
              <w:t xml:space="preserve">49.09 ± 11.16</w:t>
            </w:r>
          </w:p>
        </w:tc>
        <w:tc>
          <w:tcPr/>
          <w:p>
            <w:pPr>
              <w:pStyle w:val="Compact"/>
              <w:jc w:val="center"/>
            </w:pPr>
            <w:r>
              <w:t xml:space="preserve">-8.0%</w:t>
            </w:r>
          </w:p>
        </w:tc>
        <w:tc>
          <w:tcPr/>
          <w:p>
            <w:pPr>
              <w:pStyle w:val="Compact"/>
              <w:jc w:val="center"/>
            </w:pPr>
            <w:r>
              <w:rPr>
                <w:b/>
                <w:bCs/>
              </w:rPr>
              <w:t xml:space="preserve">0.046</w:t>
            </w:r>
          </w:p>
        </w:tc>
        <w:tc>
          <w:tcPr/>
          <w:p>
            <w:pPr>
              <w:pStyle w:val="Compact"/>
              <w:jc w:val="center"/>
            </w:pPr>
            <w:r>
              <w:t xml:space="preserve">0.34</w:t>
            </w:r>
          </w:p>
        </w:tc>
      </w:tr>
      <w:tr>
        <w:tc>
          <w:tcPr/>
          <w:p>
            <w:pPr>
              <w:pStyle w:val="Compact"/>
              <w:jc w:val="left"/>
            </w:pPr>
            <w:r>
              <w:t xml:space="preserve">TB.AR</w:t>
            </w:r>
          </w:p>
        </w:tc>
        <w:tc>
          <w:tcPr/>
          <w:p>
            <w:pPr>
              <w:pStyle w:val="Compact"/>
              <w:jc w:val="center"/>
            </w:pPr>
            <w:r>
              <w:t xml:space="preserve">195.98 ± 50.34</w:t>
            </w:r>
          </w:p>
        </w:tc>
        <w:tc>
          <w:tcPr/>
          <w:p>
            <w:pPr>
              <w:pStyle w:val="Compact"/>
              <w:jc w:val="center"/>
            </w:pPr>
            <w:r>
              <w:t xml:space="preserve">185.38 ± 59.96</w:t>
            </w:r>
          </w:p>
        </w:tc>
        <w:tc>
          <w:tcPr/>
          <w:p>
            <w:pPr>
              <w:pStyle w:val="Compact"/>
              <w:jc w:val="center"/>
            </w:pPr>
            <w:r>
              <w:t xml:space="preserve">5.7%</w:t>
            </w:r>
          </w:p>
        </w:tc>
        <w:tc>
          <w:tcPr/>
          <w:p>
            <w:pPr>
              <w:pStyle w:val="Compact"/>
              <w:jc w:val="center"/>
            </w:pPr>
            <w:r>
              <w:t xml:space="preserve">0.262</w:t>
            </w:r>
          </w:p>
        </w:tc>
        <w:tc>
          <w:tcPr/>
          <w:p>
            <w:pPr>
              <w:pStyle w:val="Compact"/>
              <w:jc w:val="center"/>
            </w:pPr>
            <w:r>
              <w:t xml:space="preserve">0.19</w:t>
            </w:r>
          </w:p>
        </w:tc>
      </w:tr>
      <w:tr>
        <w:tc>
          <w:tcPr/>
          <w:p>
            <w:pPr>
              <w:pStyle w:val="Compact"/>
              <w:jc w:val="left"/>
            </w:pPr>
            <w:r>
              <w:t xml:space="preserve">TB.META.AR</w:t>
            </w:r>
          </w:p>
        </w:tc>
        <w:tc>
          <w:tcPr/>
          <w:p>
            <w:pPr>
              <w:pStyle w:val="Compact"/>
              <w:jc w:val="center"/>
            </w:pPr>
            <w:r>
              <w:t xml:space="preserve">79.66 ± 20.29</w:t>
            </w:r>
          </w:p>
        </w:tc>
        <w:tc>
          <w:tcPr/>
          <w:p>
            <w:pPr>
              <w:pStyle w:val="Compact"/>
              <w:jc w:val="center"/>
            </w:pPr>
            <w:r>
              <w:t xml:space="preserve">75.42 ± 24.13</w:t>
            </w:r>
          </w:p>
        </w:tc>
        <w:tc>
          <w:tcPr/>
          <w:p>
            <w:pPr>
              <w:pStyle w:val="Compact"/>
              <w:jc w:val="center"/>
            </w:pPr>
            <w:r>
              <w:t xml:space="preserve">5.6%</w:t>
            </w:r>
          </w:p>
        </w:tc>
        <w:tc>
          <w:tcPr/>
          <w:p>
            <w:pPr>
              <w:pStyle w:val="Compact"/>
              <w:jc w:val="center"/>
            </w:pPr>
            <w:r>
              <w:t xml:space="preserve">0.264</w:t>
            </w:r>
          </w:p>
        </w:tc>
        <w:tc>
          <w:tcPr/>
          <w:p>
            <w:pPr>
              <w:pStyle w:val="Compact"/>
              <w:jc w:val="center"/>
            </w:pPr>
            <w:r>
              <w:t xml:space="preserve">0.19</w:t>
            </w:r>
          </w:p>
        </w:tc>
      </w:tr>
      <w:tr>
        <w:tc>
          <w:tcPr/>
          <w:p>
            <w:pPr>
              <w:pStyle w:val="Compact"/>
              <w:jc w:val="left"/>
            </w:pPr>
            <w:r>
              <w:t xml:space="preserve">TB.INN.AR</w:t>
            </w:r>
          </w:p>
        </w:tc>
        <w:tc>
          <w:tcPr/>
          <w:p>
            <w:pPr>
              <w:pStyle w:val="Compact"/>
              <w:jc w:val="center"/>
            </w:pPr>
            <w:r>
              <w:t xml:space="preserve">116.29 ± 30.05</w:t>
            </w:r>
          </w:p>
        </w:tc>
        <w:tc>
          <w:tcPr/>
          <w:p>
            <w:pPr>
              <w:pStyle w:val="Compact"/>
              <w:jc w:val="center"/>
            </w:pPr>
            <w:r>
              <w:t xml:space="preserve">109.98 ± 35.83</w:t>
            </w:r>
          </w:p>
        </w:tc>
        <w:tc>
          <w:tcPr/>
          <w:p>
            <w:pPr>
              <w:pStyle w:val="Compact"/>
              <w:jc w:val="center"/>
            </w:pPr>
            <w:r>
              <w:t xml:space="preserve">5.7%</w:t>
            </w:r>
          </w:p>
        </w:tc>
        <w:tc>
          <w:tcPr/>
          <w:p>
            <w:pPr>
              <w:pStyle w:val="Compact"/>
              <w:jc w:val="center"/>
            </w:pPr>
            <w:r>
              <w:t xml:space="preserve">0.263</w:t>
            </w:r>
          </w:p>
        </w:tc>
        <w:tc>
          <w:tcPr/>
          <w:p>
            <w:pPr>
              <w:pStyle w:val="Compact"/>
              <w:jc w:val="center"/>
            </w:pPr>
            <w:r>
              <w:t xml:space="preserve">0.19</w:t>
            </w:r>
          </w:p>
        </w:tc>
      </w:tr>
      <w:tr>
        <w:tc>
          <w:tcPr/>
          <w:p>
            <w:pPr>
              <w:pStyle w:val="Compact"/>
              <w:jc w:val="left"/>
            </w:pPr>
            <w:r>
              <w:t xml:space="preserve">ttvBMD</w:t>
            </w:r>
          </w:p>
        </w:tc>
        <w:tc>
          <w:tcPr/>
          <w:p>
            <w:pPr>
              <w:pStyle w:val="Compact"/>
              <w:jc w:val="center"/>
            </w:pPr>
            <w:r>
              <w:t xml:space="preserve">240.11 ± 71.47</w:t>
            </w:r>
          </w:p>
        </w:tc>
        <w:tc>
          <w:tcPr/>
          <w:p>
            <w:pPr>
              <w:pStyle w:val="Compact"/>
              <w:jc w:val="center"/>
            </w:pPr>
            <w:r>
              <w:t xml:space="preserve">277.13 ± 72.53</w:t>
            </w:r>
          </w:p>
        </w:tc>
        <w:tc>
          <w:tcPr/>
          <w:p>
            <w:pPr>
              <w:pStyle w:val="Compact"/>
              <w:jc w:val="center"/>
            </w:pPr>
            <w:r>
              <w:t xml:space="preserve">-13.4%</w:t>
            </w:r>
          </w:p>
        </w:tc>
        <w:tc>
          <w:tcPr/>
          <w:p>
            <w:pPr>
              <w:pStyle w:val="Compact"/>
              <w:jc w:val="center"/>
            </w:pPr>
            <w:r>
              <w:rPr>
                <w:b/>
                <w:bCs/>
              </w:rPr>
              <w:t xml:space="preserve">0.003</w:t>
            </w:r>
          </w:p>
        </w:tc>
        <w:tc>
          <w:tcPr/>
          <w:p>
            <w:pPr>
              <w:pStyle w:val="Compact"/>
              <w:jc w:val="center"/>
            </w:pPr>
            <w:r>
              <w:t xml:space="preserve">0.51</w:t>
            </w:r>
          </w:p>
        </w:tc>
      </w:tr>
      <w:tr>
        <w:tc>
          <w:tcPr/>
          <w:p>
            <w:pPr>
              <w:pStyle w:val="Compact"/>
              <w:jc w:val="left"/>
            </w:pPr>
            <w:r>
              <w:t xml:space="preserve">tbvBMD</w:t>
            </w:r>
          </w:p>
        </w:tc>
        <w:tc>
          <w:tcPr/>
          <w:p>
            <w:pPr>
              <w:pStyle w:val="Compact"/>
              <w:jc w:val="center"/>
            </w:pPr>
            <w:r>
              <w:t xml:space="preserve">96.57 ± 37.09</w:t>
            </w:r>
          </w:p>
        </w:tc>
        <w:tc>
          <w:tcPr/>
          <w:p>
            <w:pPr>
              <w:pStyle w:val="Compact"/>
              <w:jc w:val="center"/>
            </w:pPr>
            <w:r>
              <w:t xml:space="preserve">113.58 ± 37.43</w:t>
            </w:r>
          </w:p>
        </w:tc>
        <w:tc>
          <w:tcPr/>
          <w:p>
            <w:pPr>
              <w:pStyle w:val="Compact"/>
              <w:jc w:val="center"/>
            </w:pPr>
            <w:r>
              <w:t xml:space="preserve">-15.0%</w:t>
            </w:r>
          </w:p>
        </w:tc>
        <w:tc>
          <w:tcPr/>
          <w:p>
            <w:pPr>
              <w:pStyle w:val="Compact"/>
              <w:jc w:val="center"/>
            </w:pPr>
            <w:r>
              <w:rPr>
                <w:b/>
                <w:bCs/>
              </w:rPr>
              <w:t xml:space="preserve">0.008</w:t>
            </w:r>
          </w:p>
        </w:tc>
        <w:tc>
          <w:tcPr/>
          <w:p>
            <w:pPr>
              <w:pStyle w:val="Compact"/>
              <w:jc w:val="center"/>
            </w:pPr>
            <w:r>
              <w:t xml:space="preserve">0.46</w:t>
            </w:r>
          </w:p>
        </w:tc>
      </w:tr>
      <w:tr>
        <w:tc>
          <w:tcPr/>
          <w:p>
            <w:pPr>
              <w:pStyle w:val="Compact"/>
              <w:jc w:val="left"/>
            </w:pPr>
            <w:r>
              <w:t xml:space="preserve">TbMeta.v.BMD</w:t>
            </w:r>
          </w:p>
        </w:tc>
        <w:tc>
          <w:tcPr/>
          <w:p>
            <w:pPr>
              <w:pStyle w:val="Compact"/>
              <w:jc w:val="center"/>
            </w:pPr>
            <w:r>
              <w:t xml:space="preserve">153.90 ± 38.42</w:t>
            </w:r>
          </w:p>
        </w:tc>
        <w:tc>
          <w:tcPr/>
          <w:p>
            <w:pPr>
              <w:pStyle w:val="Compact"/>
              <w:jc w:val="center"/>
            </w:pPr>
            <w:r>
              <w:t xml:space="preserve">173.39 ± 38.60</w:t>
            </w:r>
          </w:p>
        </w:tc>
        <w:tc>
          <w:tcPr/>
          <w:p>
            <w:pPr>
              <w:pStyle w:val="Compact"/>
              <w:jc w:val="center"/>
            </w:pPr>
            <w:r>
              <w:t xml:space="preserve">-11.2%</w:t>
            </w:r>
          </w:p>
        </w:tc>
        <w:tc>
          <w:tcPr/>
          <w:p>
            <w:pPr>
              <w:pStyle w:val="Compact"/>
              <w:jc w:val="center"/>
            </w:pPr>
            <w:r>
              <w:rPr>
                <w:b/>
                <w:bCs/>
              </w:rPr>
              <w:t xml:space="preserve">0.003</w:t>
            </w:r>
          </w:p>
        </w:tc>
        <w:tc>
          <w:tcPr/>
          <w:p>
            <w:pPr>
              <w:pStyle w:val="Compact"/>
              <w:jc w:val="center"/>
            </w:pPr>
            <w:r>
              <w:t xml:space="preserve">0.51</w:t>
            </w:r>
          </w:p>
        </w:tc>
      </w:tr>
      <w:tr>
        <w:tc>
          <w:tcPr/>
          <w:p>
            <w:pPr>
              <w:pStyle w:val="Compact"/>
              <w:jc w:val="left"/>
            </w:pPr>
            <w:r>
              <w:t xml:space="preserve">Tb.inn.BMD</w:t>
            </w:r>
          </w:p>
        </w:tc>
        <w:tc>
          <w:tcPr/>
          <w:p>
            <w:pPr>
              <w:pStyle w:val="Compact"/>
              <w:jc w:val="center"/>
            </w:pPr>
            <w:r>
              <w:t xml:space="preserve">57.23 ± 37.75</w:t>
            </w:r>
          </w:p>
        </w:tc>
        <w:tc>
          <w:tcPr/>
          <w:p>
            <w:pPr>
              <w:pStyle w:val="Compact"/>
              <w:jc w:val="center"/>
            </w:pPr>
            <w:r>
              <w:t xml:space="preserve">72.57 ± 38.35</w:t>
            </w:r>
          </w:p>
        </w:tc>
        <w:tc>
          <w:tcPr/>
          <w:p>
            <w:pPr>
              <w:pStyle w:val="Compact"/>
              <w:jc w:val="center"/>
            </w:pPr>
            <w:r>
              <w:t xml:space="preserve">-21.1%</w:t>
            </w:r>
          </w:p>
        </w:tc>
        <w:tc>
          <w:tcPr/>
          <w:p>
            <w:pPr>
              <w:pStyle w:val="Compact"/>
              <w:jc w:val="center"/>
            </w:pPr>
            <w:r>
              <w:rPr>
                <w:b/>
                <w:bCs/>
              </w:rPr>
              <w:t xml:space="preserve">0.019</w:t>
            </w:r>
          </w:p>
        </w:tc>
        <w:tc>
          <w:tcPr/>
          <w:p>
            <w:pPr>
              <w:pStyle w:val="Compact"/>
              <w:jc w:val="center"/>
            </w:pPr>
            <w:r>
              <w:t xml:space="preserve">0.40</w:t>
            </w:r>
          </w:p>
        </w:tc>
      </w:tr>
      <w:tr>
        <w:tc>
          <w:tcPr/>
          <w:p>
            <w:pPr>
              <w:pStyle w:val="Compact"/>
              <w:jc w:val="left"/>
            </w:pPr>
            <w:r>
              <w:t xml:space="preserve">CTvBMD</w:t>
            </w:r>
          </w:p>
        </w:tc>
        <w:tc>
          <w:tcPr/>
          <w:p>
            <w:pPr>
              <w:pStyle w:val="Compact"/>
              <w:jc w:val="center"/>
            </w:pPr>
            <w:r>
              <w:t xml:space="preserve">840.98 ± 88.45</w:t>
            </w:r>
          </w:p>
        </w:tc>
        <w:tc>
          <w:tcPr/>
          <w:p>
            <w:pPr>
              <w:pStyle w:val="Compact"/>
              <w:jc w:val="center"/>
            </w:pPr>
            <w:r>
              <w:t xml:space="preserve">871.17 ± 83.44</w:t>
            </w:r>
          </w:p>
        </w:tc>
        <w:tc>
          <w:tcPr/>
          <w:p>
            <w:pPr>
              <w:pStyle w:val="Compact"/>
              <w:jc w:val="center"/>
            </w:pPr>
            <w:r>
              <w:t xml:space="preserve">-3.5%</w:t>
            </w:r>
          </w:p>
        </w:tc>
        <w:tc>
          <w:tcPr/>
          <w:p>
            <w:pPr>
              <w:pStyle w:val="Compact"/>
              <w:jc w:val="center"/>
            </w:pPr>
            <w:r>
              <w:rPr>
                <w:b/>
                <w:bCs/>
              </w:rPr>
              <w:t xml:space="preserve">0.040</w:t>
            </w:r>
          </w:p>
        </w:tc>
        <w:tc>
          <w:tcPr/>
          <w:p>
            <w:pPr>
              <w:pStyle w:val="Compact"/>
              <w:jc w:val="center"/>
            </w:pPr>
            <w:r>
              <w:t xml:space="preserve">0.35</w:t>
            </w:r>
          </w:p>
        </w:tc>
      </w:tr>
      <w:tr>
        <w:tc>
          <w:tcPr/>
          <w:p>
            <w:pPr>
              <w:pStyle w:val="Compact"/>
              <w:jc w:val="left"/>
            </w:pPr>
            <w:r>
              <w:t xml:space="preserve">BV/TV</w:t>
            </w:r>
          </w:p>
        </w:tc>
        <w:tc>
          <w:tcPr/>
          <w:p>
            <w:pPr>
              <w:pStyle w:val="Compact"/>
              <w:jc w:val="center"/>
            </w:pPr>
            <w:r>
              <w:t xml:space="preserve">0.13 ± 0.05</w:t>
            </w:r>
          </w:p>
        </w:tc>
        <w:tc>
          <w:tcPr/>
          <w:p>
            <w:pPr>
              <w:pStyle w:val="Compact"/>
              <w:jc w:val="center"/>
            </w:pPr>
            <w:r>
              <w:t xml:space="preserve">0.16 ± 0.05</w:t>
            </w:r>
          </w:p>
        </w:tc>
        <w:tc>
          <w:tcPr/>
          <w:p>
            <w:pPr>
              <w:pStyle w:val="Compact"/>
              <w:jc w:val="center"/>
            </w:pPr>
            <w:r>
              <w:t xml:space="preserve">-16.4%</w:t>
            </w:r>
          </w:p>
        </w:tc>
        <w:tc>
          <w:tcPr/>
          <w:p>
            <w:pPr>
              <w:pStyle w:val="Compact"/>
              <w:jc w:val="center"/>
            </w:pPr>
            <w:r>
              <w:rPr>
                <w:b/>
                <w:bCs/>
              </w:rPr>
              <w:t xml:space="preserve">0.002</w:t>
            </w:r>
          </w:p>
        </w:tc>
        <w:tc>
          <w:tcPr/>
          <w:p>
            <w:pPr>
              <w:pStyle w:val="Compact"/>
              <w:jc w:val="center"/>
            </w:pPr>
            <w:r>
              <w:t xml:space="preserve">0.53</w:t>
            </w:r>
          </w:p>
        </w:tc>
      </w:tr>
      <w:tr>
        <w:tc>
          <w:tcPr/>
          <w:p>
            <w:pPr>
              <w:pStyle w:val="Compact"/>
              <w:jc w:val="left"/>
            </w:pPr>
            <w:r>
              <w:t xml:space="preserve">TB.N</w:t>
            </w:r>
          </w:p>
        </w:tc>
        <w:tc>
          <w:tcPr/>
          <w:p>
            <w:pPr>
              <w:pStyle w:val="Compact"/>
              <w:jc w:val="center"/>
            </w:pPr>
            <w:r>
              <w:t xml:space="preserve">1.02 ± 0.26</w:t>
            </w:r>
          </w:p>
        </w:tc>
        <w:tc>
          <w:tcPr/>
          <w:p>
            <w:pPr>
              <w:pStyle w:val="Compact"/>
              <w:jc w:val="center"/>
            </w:pPr>
            <w:r>
              <w:t xml:space="preserve">1.12 ± 0.25</w:t>
            </w:r>
          </w:p>
        </w:tc>
        <w:tc>
          <w:tcPr/>
          <w:p>
            <w:pPr>
              <w:pStyle w:val="Compact"/>
              <w:jc w:val="center"/>
            </w:pPr>
            <w:r>
              <w:t xml:space="preserve">-9.6%</w:t>
            </w:r>
          </w:p>
        </w:tc>
        <w:tc>
          <w:tcPr/>
          <w:p>
            <w:pPr>
              <w:pStyle w:val="Compact"/>
              <w:jc w:val="center"/>
            </w:pPr>
            <w:r>
              <w:rPr>
                <w:b/>
                <w:bCs/>
              </w:rPr>
              <w:t xml:space="preserve">0.014</w:t>
            </w:r>
          </w:p>
        </w:tc>
        <w:tc>
          <w:tcPr/>
          <w:p>
            <w:pPr>
              <w:pStyle w:val="Compact"/>
              <w:jc w:val="center"/>
            </w:pPr>
            <w:r>
              <w:t xml:space="preserve">0.42</w:t>
            </w:r>
          </w:p>
        </w:tc>
      </w:tr>
      <w:tr>
        <w:tc>
          <w:tcPr/>
          <w:p>
            <w:pPr>
              <w:pStyle w:val="Compact"/>
              <w:jc w:val="left"/>
            </w:pPr>
            <w:r>
              <w:t xml:space="preserve">TB.TH</w:t>
            </w:r>
          </w:p>
        </w:tc>
        <w:tc>
          <w:tcPr/>
          <w:p>
            <w:pPr>
              <w:pStyle w:val="Compact"/>
              <w:jc w:val="center"/>
            </w:pPr>
            <w:r>
              <w:t xml:space="preserve">0.22 ± 0.02</w:t>
            </w:r>
          </w:p>
        </w:tc>
        <w:tc>
          <w:tcPr/>
          <w:p>
            <w:pPr>
              <w:pStyle w:val="Compact"/>
              <w:jc w:val="center"/>
            </w:pPr>
            <w:r>
              <w:t xml:space="preserve">0.22 ± 0.03</w:t>
            </w:r>
          </w:p>
        </w:tc>
        <w:tc>
          <w:tcPr/>
          <w:p>
            <w:pPr>
              <w:pStyle w:val="Compact"/>
              <w:jc w:val="center"/>
            </w:pPr>
            <w:r>
              <w:t xml:space="preserve">-1.5%</w:t>
            </w:r>
          </w:p>
        </w:tc>
        <w:tc>
          <w:tcPr/>
          <w:p>
            <w:pPr>
              <w:pStyle w:val="Compact"/>
              <w:jc w:val="center"/>
            </w:pPr>
            <w:r>
              <w:t xml:space="preserve">0.408</w:t>
            </w:r>
          </w:p>
        </w:tc>
        <w:tc>
          <w:tcPr/>
          <w:p>
            <w:pPr>
              <w:pStyle w:val="Compact"/>
              <w:jc w:val="center"/>
            </w:pPr>
            <w:r>
              <w:t xml:space="preserve">0.14</w:t>
            </w:r>
          </w:p>
        </w:tc>
      </w:tr>
      <w:tr>
        <w:tc>
          <w:tcPr/>
          <w:p>
            <w:pPr>
              <w:pStyle w:val="Compact"/>
              <w:jc w:val="left"/>
            </w:pPr>
            <w:r>
              <w:t xml:space="preserve">TB.SP</w:t>
            </w:r>
          </w:p>
        </w:tc>
        <w:tc>
          <w:tcPr/>
          <w:p>
            <w:pPr>
              <w:pStyle w:val="Compact"/>
              <w:jc w:val="center"/>
            </w:pPr>
            <w:r>
              <w:t xml:space="preserve">1.05 ± 0.33</w:t>
            </w:r>
          </w:p>
        </w:tc>
        <w:tc>
          <w:tcPr/>
          <w:p>
            <w:pPr>
              <w:pStyle w:val="Compact"/>
              <w:jc w:val="center"/>
            </w:pPr>
            <w:r>
              <w:t xml:space="preserve">0.93 ± 0.33</w:t>
            </w:r>
          </w:p>
        </w:tc>
        <w:tc>
          <w:tcPr/>
          <w:p>
            <w:pPr>
              <w:pStyle w:val="Compact"/>
              <w:jc w:val="center"/>
            </w:pPr>
            <w:r>
              <w:t xml:space="preserve">12.8%</w:t>
            </w:r>
          </w:p>
        </w:tc>
        <w:tc>
          <w:tcPr/>
          <w:p>
            <w:pPr>
              <w:pStyle w:val="Compact"/>
              <w:jc w:val="center"/>
            </w:pPr>
            <w:r>
              <w:rPr>
                <w:b/>
                <w:bCs/>
              </w:rPr>
              <w:t xml:space="preserve">0.033</w:t>
            </w:r>
          </w:p>
        </w:tc>
        <w:tc>
          <w:tcPr/>
          <w:p>
            <w:pPr>
              <w:pStyle w:val="Compact"/>
              <w:jc w:val="center"/>
            </w:pPr>
            <w:r>
              <w:t xml:space="preserve">0.36</w:t>
            </w:r>
          </w:p>
        </w:tc>
      </w:tr>
      <w:tr>
        <w:tc>
          <w:tcPr/>
          <w:p>
            <w:pPr>
              <w:pStyle w:val="Compact"/>
              <w:jc w:val="left"/>
            </w:pPr>
            <w:r>
              <w:t xml:space="preserve">TB.1/N.SD</w:t>
            </w:r>
          </w:p>
        </w:tc>
        <w:tc>
          <w:tcPr/>
          <w:p>
            <w:pPr>
              <w:pStyle w:val="Compact"/>
              <w:jc w:val="center"/>
            </w:pPr>
            <w:r>
              <w:t xml:space="preserve">0.51 ± 0.34</w:t>
            </w:r>
          </w:p>
        </w:tc>
        <w:tc>
          <w:tcPr/>
          <w:p>
            <w:pPr>
              <w:pStyle w:val="Compact"/>
              <w:jc w:val="center"/>
            </w:pPr>
            <w:r>
              <w:t xml:space="preserve">0.40 ± 0.32</w:t>
            </w:r>
          </w:p>
        </w:tc>
        <w:tc>
          <w:tcPr/>
          <w:p>
            <w:pPr>
              <w:pStyle w:val="Compact"/>
              <w:jc w:val="center"/>
            </w:pPr>
            <w:r>
              <w:t xml:space="preserve">25.5%</w:t>
            </w:r>
          </w:p>
        </w:tc>
        <w:tc>
          <w:tcPr/>
          <w:p>
            <w:pPr>
              <w:pStyle w:val="Compact"/>
              <w:jc w:val="center"/>
            </w:pPr>
            <w:r>
              <w:t xml:space="preserve">0.069</w:t>
            </w:r>
          </w:p>
        </w:tc>
        <w:tc>
          <w:tcPr/>
          <w:p>
            <w:pPr>
              <w:pStyle w:val="Compact"/>
              <w:jc w:val="center"/>
            </w:pPr>
            <w:r>
              <w:t xml:space="preserve">0.31</w:t>
            </w:r>
          </w:p>
        </w:tc>
      </w:tr>
      <w:tr>
        <w:tc>
          <w:tcPr/>
          <w:p>
            <w:pPr>
              <w:pStyle w:val="Compact"/>
              <w:jc w:val="left"/>
            </w:pPr>
            <w:r>
              <w:t xml:space="preserve">CT.TH</w:t>
            </w:r>
          </w:p>
        </w:tc>
        <w:tc>
          <w:tcPr/>
          <w:p>
            <w:pPr>
              <w:pStyle w:val="Compact"/>
              <w:jc w:val="center"/>
            </w:pPr>
            <w:r>
              <w:t xml:space="preserve">0.84 ± 0.24</w:t>
            </w:r>
          </w:p>
        </w:tc>
        <w:tc>
          <w:tcPr/>
          <w:p>
            <w:pPr>
              <w:pStyle w:val="Compact"/>
              <w:jc w:val="center"/>
            </w:pPr>
            <w:r>
              <w:t xml:space="preserve">0.94 ± 0.22</w:t>
            </w:r>
          </w:p>
        </w:tc>
        <w:tc>
          <w:tcPr/>
          <w:p>
            <w:pPr>
              <w:pStyle w:val="Compact"/>
              <w:jc w:val="center"/>
            </w:pPr>
            <w:r>
              <w:t xml:space="preserve">-10.0%</w:t>
            </w:r>
          </w:p>
        </w:tc>
        <w:tc>
          <w:tcPr/>
          <w:p>
            <w:pPr>
              <w:pStyle w:val="Compact"/>
              <w:jc w:val="center"/>
            </w:pPr>
            <w:r>
              <w:rPr>
                <w:b/>
                <w:bCs/>
              </w:rPr>
              <w:t xml:space="preserve">0.017</w:t>
            </w:r>
          </w:p>
        </w:tc>
        <w:tc>
          <w:tcPr/>
          <w:p>
            <w:pPr>
              <w:pStyle w:val="Compact"/>
              <w:jc w:val="center"/>
            </w:pPr>
            <w:r>
              <w:t xml:space="preserve">0.41</w:t>
            </w:r>
          </w:p>
        </w:tc>
      </w:tr>
      <w:tr>
        <w:tc>
          <w:tcPr/>
          <w:p>
            <w:pPr>
              <w:pStyle w:val="Compact"/>
              <w:jc w:val="left"/>
            </w:pPr>
            <w:r>
              <w:t xml:space="preserve">CT.PO</w:t>
            </w:r>
          </w:p>
        </w:tc>
        <w:tc>
          <w:tcPr/>
          <w:p>
            <w:pPr>
              <w:pStyle w:val="Compact"/>
              <w:jc w:val="center"/>
            </w:pPr>
            <w:r>
              <w:t xml:space="preserve">0.01 ± 0.00</w:t>
            </w:r>
          </w:p>
        </w:tc>
        <w:tc>
          <w:tcPr/>
          <w:p>
            <w:pPr>
              <w:pStyle w:val="Compact"/>
              <w:jc w:val="center"/>
            </w:pPr>
            <w:r>
              <w:t xml:space="preserve">0.01 ± 0.01</w:t>
            </w:r>
          </w:p>
        </w:tc>
        <w:tc>
          <w:tcPr/>
          <w:p>
            <w:pPr>
              <w:pStyle w:val="Compact"/>
              <w:jc w:val="center"/>
            </w:pPr>
            <w:r>
              <w:t xml:space="preserve">-25.4%</w:t>
            </w:r>
          </w:p>
        </w:tc>
        <w:tc>
          <w:tcPr/>
          <w:p>
            <w:pPr>
              <w:pStyle w:val="Compact"/>
              <w:jc w:val="center"/>
            </w:pPr>
            <w:r>
              <w:rPr>
                <w:b/>
                <w:bCs/>
              </w:rPr>
              <w:t xml:space="preserve">0.024</w:t>
            </w:r>
          </w:p>
        </w:tc>
        <w:tc>
          <w:tcPr/>
          <w:p>
            <w:pPr>
              <w:pStyle w:val="Compact"/>
              <w:jc w:val="center"/>
            </w:pPr>
            <w:r>
              <w:t xml:space="preserve">0.39</w:t>
            </w:r>
          </w:p>
        </w:tc>
      </w:tr>
      <w:tr>
        <w:tc>
          <w:tcPr/>
          <w:p>
            <w:pPr>
              <w:pStyle w:val="Compact"/>
              <w:jc w:val="left"/>
            </w:pPr>
            <w:r>
              <w:t xml:space="preserve">CT.PO.DM</w:t>
            </w:r>
          </w:p>
        </w:tc>
        <w:tc>
          <w:tcPr/>
          <w:p>
            <w:pPr>
              <w:pStyle w:val="Compact"/>
              <w:jc w:val="center"/>
            </w:pPr>
            <w:r>
              <w:t xml:space="preserve">0.17 ± 0.04</w:t>
            </w:r>
          </w:p>
        </w:tc>
        <w:tc>
          <w:tcPr/>
          <w:p>
            <w:pPr>
              <w:pStyle w:val="Compact"/>
              <w:jc w:val="center"/>
            </w:pPr>
            <w:r>
              <w:t xml:space="preserve">0.18 ± 0.04</w:t>
            </w:r>
          </w:p>
        </w:tc>
        <w:tc>
          <w:tcPr/>
          <w:p>
            <w:pPr>
              <w:pStyle w:val="Compact"/>
              <w:jc w:val="center"/>
            </w:pPr>
            <w:r>
              <w:t xml:space="preserve">-8.2%</w:t>
            </w:r>
          </w:p>
        </w:tc>
        <w:tc>
          <w:tcPr/>
          <w:p>
            <w:pPr>
              <w:pStyle w:val="Compact"/>
              <w:jc w:val="center"/>
            </w:pPr>
            <w:r>
              <w:rPr>
                <w:b/>
                <w:bCs/>
              </w:rPr>
              <w:t xml:space="preserve">0.027</w:t>
            </w:r>
          </w:p>
        </w:tc>
        <w:tc>
          <w:tcPr/>
          <w:p>
            <w:pPr>
              <w:pStyle w:val="Compact"/>
              <w:jc w:val="center"/>
            </w:pPr>
            <w:r>
              <w:t xml:space="preserve">0.38</w:t>
            </w:r>
          </w:p>
        </w:tc>
      </w:tr>
      <w:tr>
        <w:tc>
          <w:tcPr/>
          <w:p>
            <w:pPr>
              <w:pStyle w:val="Compact"/>
              <w:jc w:val="left"/>
            </w:pPr>
            <w:r>
              <w:t xml:space="preserve">Stiffness</w:t>
            </w:r>
          </w:p>
        </w:tc>
        <w:tc>
          <w:tcPr/>
          <w:p>
            <w:pPr>
              <w:pStyle w:val="Compact"/>
              <w:jc w:val="center"/>
            </w:pPr>
            <w:r>
              <w:t xml:space="preserve">41562.39 ± 18313.77</w:t>
            </w:r>
          </w:p>
        </w:tc>
        <w:tc>
          <w:tcPr/>
          <w:p>
            <w:pPr>
              <w:pStyle w:val="Compact"/>
              <w:jc w:val="center"/>
            </w:pPr>
            <w:r>
              <w:t xml:space="preserve">47012.11 ± 18234.38</w:t>
            </w:r>
          </w:p>
        </w:tc>
        <w:tc>
          <w:tcPr/>
          <w:p>
            <w:pPr>
              <w:pStyle w:val="Compact"/>
              <w:jc w:val="center"/>
            </w:pPr>
            <w:r>
              <w:t xml:space="preserve">-11.6%</w:t>
            </w:r>
          </w:p>
        </w:tc>
        <w:tc>
          <w:tcPr/>
          <w:p>
            <w:pPr>
              <w:pStyle w:val="Compact"/>
              <w:jc w:val="center"/>
            </w:pPr>
            <w:r>
              <w:t xml:space="preserve">0.080</w:t>
            </w:r>
          </w:p>
        </w:tc>
        <w:tc>
          <w:tcPr/>
          <w:p>
            <w:pPr>
              <w:pStyle w:val="Compact"/>
              <w:jc w:val="center"/>
            </w:pPr>
            <w:r>
              <w:t xml:space="preserve">0.30</w:t>
            </w:r>
          </w:p>
        </w:tc>
      </w:tr>
      <w:tr>
        <w:tc>
          <w:tcPr/>
          <w:p>
            <w:pPr>
              <w:pStyle w:val="Compact"/>
              <w:jc w:val="left"/>
            </w:pPr>
            <w:r>
              <w:t xml:space="preserve">F.Load</w:t>
            </w:r>
          </w:p>
        </w:tc>
        <w:tc>
          <w:tcPr/>
          <w:p>
            <w:pPr>
              <w:pStyle w:val="Compact"/>
              <w:jc w:val="center"/>
            </w:pPr>
            <w:r>
              <w:t xml:space="preserve">-2207.31 ± 1015.27</w:t>
            </w:r>
          </w:p>
        </w:tc>
        <w:tc>
          <w:tcPr/>
          <w:p>
            <w:pPr>
              <w:pStyle w:val="Compact"/>
              <w:jc w:val="center"/>
            </w:pPr>
            <w:r>
              <w:t xml:space="preserve">-2512.55 ± 1020.86</w:t>
            </w:r>
          </w:p>
        </w:tc>
        <w:tc>
          <w:tcPr/>
          <w:p>
            <w:pPr>
              <w:pStyle w:val="Compact"/>
              <w:jc w:val="center"/>
            </w:pPr>
            <w:r>
              <w:t xml:space="preserve">-12.1%</w:t>
            </w:r>
          </w:p>
        </w:tc>
        <w:tc>
          <w:tcPr/>
          <w:p>
            <w:pPr>
              <w:pStyle w:val="Compact"/>
              <w:jc w:val="center"/>
            </w:pPr>
            <w:r>
              <w:t xml:space="preserve">0.079</w:t>
            </w:r>
          </w:p>
        </w:tc>
        <w:tc>
          <w:tcPr/>
          <w:p>
            <w:pPr>
              <w:pStyle w:val="Compact"/>
              <w:jc w:val="center"/>
            </w:pPr>
            <w:r>
              <w:t xml:space="preserve">0.30</w:t>
            </w:r>
          </w:p>
        </w:tc>
      </w:tr>
      <w:tr>
        <w:tc>
          <w:tcPr/>
          <w:p>
            <w:pPr>
              <w:pStyle w:val="Compact"/>
              <w:jc w:val="left"/>
            </w:pPr>
            <w:r>
              <w:rPr>
                <w:b/>
                <w:bCs/>
              </w:rPr>
              <w:t xml:space="preserve">Distal Tibia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TT.AR</w:t>
            </w:r>
          </w:p>
        </w:tc>
        <w:tc>
          <w:tcPr/>
          <w:p>
            <w:pPr>
              <w:pStyle w:val="Compact"/>
              <w:jc w:val="center"/>
            </w:pPr>
            <w:r>
              <w:t xml:space="preserve">534.03 ± 82.63</w:t>
            </w:r>
          </w:p>
        </w:tc>
        <w:tc>
          <w:tcPr/>
          <w:p>
            <w:pPr>
              <w:pStyle w:val="Compact"/>
              <w:jc w:val="center"/>
            </w:pPr>
            <w:r>
              <w:t xml:space="preserve">532.08 ± 95.96</w:t>
            </w:r>
          </w:p>
        </w:tc>
        <w:tc>
          <w:tcPr/>
          <w:p>
            <w:pPr>
              <w:pStyle w:val="Compact"/>
              <w:jc w:val="center"/>
            </w:pPr>
            <w:r>
              <w:t xml:space="preserve">0.4%</w:t>
            </w:r>
          </w:p>
        </w:tc>
        <w:tc>
          <w:tcPr/>
          <w:p>
            <w:pPr>
              <w:pStyle w:val="Compact"/>
              <w:jc w:val="center"/>
            </w:pPr>
            <w:r>
              <w:t xml:space="preserve">0.898</w:t>
            </w:r>
          </w:p>
        </w:tc>
        <w:tc>
          <w:tcPr/>
          <w:p>
            <w:pPr>
              <w:pStyle w:val="Compact"/>
              <w:jc w:val="center"/>
            </w:pPr>
            <w:r>
              <w:t xml:space="preserve">0.02</w:t>
            </w:r>
          </w:p>
        </w:tc>
      </w:tr>
      <w:tr>
        <w:tc>
          <w:tcPr/>
          <w:p>
            <w:pPr>
              <w:pStyle w:val="Compact"/>
              <w:jc w:val="left"/>
            </w:pPr>
            <w:r>
              <w:t xml:space="preserve">CT.PM</w:t>
            </w:r>
          </w:p>
        </w:tc>
        <w:tc>
          <w:tcPr/>
          <w:p>
            <w:pPr>
              <w:pStyle w:val="Compact"/>
              <w:jc w:val="center"/>
            </w:pPr>
            <w:r>
              <w:t xml:space="preserve">89.58 ± 7.39</w:t>
            </w:r>
          </w:p>
        </w:tc>
        <w:tc>
          <w:tcPr/>
          <w:p>
            <w:pPr>
              <w:pStyle w:val="Compact"/>
              <w:jc w:val="center"/>
            </w:pPr>
            <w:r>
              <w:t xml:space="preserve">89.91 ± 7.41</w:t>
            </w:r>
          </w:p>
        </w:tc>
        <w:tc>
          <w:tcPr/>
          <w:p>
            <w:pPr>
              <w:pStyle w:val="Compact"/>
              <w:jc w:val="center"/>
            </w:pPr>
            <w:r>
              <w:t xml:space="preserve">-0.4%</w:t>
            </w:r>
          </w:p>
        </w:tc>
        <w:tc>
          <w:tcPr/>
          <w:p>
            <w:pPr>
              <w:pStyle w:val="Compact"/>
              <w:jc w:val="center"/>
            </w:pPr>
            <w:r>
              <w:t xml:space="preserve">0.788</w:t>
            </w:r>
          </w:p>
        </w:tc>
        <w:tc>
          <w:tcPr/>
          <w:p>
            <w:pPr>
              <w:pStyle w:val="Compact"/>
              <w:jc w:val="center"/>
            </w:pPr>
            <w:r>
              <w:t xml:space="preserve">0.05</w:t>
            </w:r>
          </w:p>
        </w:tc>
      </w:tr>
      <w:tr>
        <w:tc>
          <w:tcPr/>
          <w:p>
            <w:pPr>
              <w:pStyle w:val="Compact"/>
              <w:jc w:val="left"/>
            </w:pPr>
            <w:r>
              <w:t xml:space="preserve">CT.AR</w:t>
            </w:r>
          </w:p>
        </w:tc>
        <w:tc>
          <w:tcPr/>
          <w:p>
            <w:pPr>
              <w:pStyle w:val="Compact"/>
              <w:jc w:val="center"/>
            </w:pPr>
            <w:r>
              <w:t xml:space="preserve">102.79 ± 19.49</w:t>
            </w:r>
          </w:p>
        </w:tc>
        <w:tc>
          <w:tcPr/>
          <w:p>
            <w:pPr>
              <w:pStyle w:val="Compact"/>
              <w:jc w:val="center"/>
            </w:pPr>
            <w:r>
              <w:t xml:space="preserve">110.13 ± 18.78</w:t>
            </w:r>
          </w:p>
        </w:tc>
        <w:tc>
          <w:tcPr/>
          <w:p>
            <w:pPr>
              <w:pStyle w:val="Compact"/>
              <w:jc w:val="center"/>
            </w:pPr>
            <w:r>
              <w:t xml:space="preserve">-6.7%</w:t>
            </w:r>
          </w:p>
        </w:tc>
        <w:tc>
          <w:tcPr/>
          <w:p>
            <w:pPr>
              <w:pStyle w:val="Compact"/>
              <w:jc w:val="center"/>
            </w:pPr>
            <w:r>
              <w:rPr>
                <w:b/>
                <w:bCs/>
              </w:rPr>
              <w:t xml:space="preserve">0.025</w:t>
            </w:r>
          </w:p>
        </w:tc>
        <w:tc>
          <w:tcPr/>
          <w:p>
            <w:pPr>
              <w:pStyle w:val="Compact"/>
              <w:jc w:val="center"/>
            </w:pPr>
            <w:r>
              <w:t xml:space="preserve">0.38</w:t>
            </w:r>
          </w:p>
        </w:tc>
      </w:tr>
      <w:tr>
        <w:tc>
          <w:tcPr/>
          <w:p>
            <w:pPr>
              <w:pStyle w:val="Compact"/>
              <w:jc w:val="left"/>
            </w:pPr>
            <w:r>
              <w:t xml:space="preserve">TB.AR</w:t>
            </w:r>
          </w:p>
        </w:tc>
        <w:tc>
          <w:tcPr/>
          <w:p>
            <w:pPr>
              <w:pStyle w:val="Compact"/>
              <w:jc w:val="center"/>
            </w:pPr>
            <w:r>
              <w:t xml:space="preserve">436.06 ± 84.69</w:t>
            </w:r>
          </w:p>
        </w:tc>
        <w:tc>
          <w:tcPr/>
          <w:p>
            <w:pPr>
              <w:pStyle w:val="Compact"/>
              <w:jc w:val="center"/>
            </w:pPr>
            <w:r>
              <w:t xml:space="preserve">426.55 ± 92.60</w:t>
            </w:r>
          </w:p>
        </w:tc>
        <w:tc>
          <w:tcPr/>
          <w:p>
            <w:pPr>
              <w:pStyle w:val="Compact"/>
              <w:jc w:val="center"/>
            </w:pPr>
            <w:r>
              <w:t xml:space="preserve">2.2%</w:t>
            </w:r>
          </w:p>
        </w:tc>
        <w:tc>
          <w:tcPr/>
          <w:p>
            <w:pPr>
              <w:pStyle w:val="Compact"/>
              <w:jc w:val="center"/>
            </w:pPr>
            <w:r>
              <w:t xml:space="preserve">0.528</w:t>
            </w:r>
          </w:p>
        </w:tc>
        <w:tc>
          <w:tcPr/>
          <w:p>
            <w:pPr>
              <w:pStyle w:val="Compact"/>
              <w:jc w:val="center"/>
            </w:pPr>
            <w:r>
              <w:t xml:space="preserve">0.11</w:t>
            </w:r>
          </w:p>
        </w:tc>
      </w:tr>
      <w:tr>
        <w:tc>
          <w:tcPr/>
          <w:p>
            <w:pPr>
              <w:pStyle w:val="Compact"/>
              <w:jc w:val="left"/>
            </w:pPr>
            <w:r>
              <w:t xml:space="preserve">TB.META.AR</w:t>
            </w:r>
          </w:p>
        </w:tc>
        <w:tc>
          <w:tcPr/>
          <w:p>
            <w:pPr>
              <w:pStyle w:val="Compact"/>
              <w:jc w:val="center"/>
            </w:pPr>
            <w:r>
              <w:t xml:space="preserve">176.09 ± 34.03</w:t>
            </w:r>
          </w:p>
        </w:tc>
        <w:tc>
          <w:tcPr/>
          <w:p>
            <w:pPr>
              <w:pStyle w:val="Compact"/>
              <w:jc w:val="center"/>
            </w:pPr>
            <w:r>
              <w:t xml:space="preserve">172.27 ± 37.21</w:t>
            </w:r>
          </w:p>
        </w:tc>
        <w:tc>
          <w:tcPr/>
          <w:p>
            <w:pPr>
              <w:pStyle w:val="Compact"/>
              <w:jc w:val="center"/>
            </w:pPr>
            <w:r>
              <w:t xml:space="preserve">2.2%</w:t>
            </w:r>
          </w:p>
        </w:tc>
        <w:tc>
          <w:tcPr/>
          <w:p>
            <w:pPr>
              <w:pStyle w:val="Compact"/>
              <w:jc w:val="center"/>
            </w:pPr>
            <w:r>
              <w:t xml:space="preserve">0.528</w:t>
            </w:r>
          </w:p>
        </w:tc>
        <w:tc>
          <w:tcPr/>
          <w:p>
            <w:pPr>
              <w:pStyle w:val="Compact"/>
              <w:jc w:val="center"/>
            </w:pPr>
            <w:r>
              <w:t xml:space="preserve">0.11</w:t>
            </w:r>
          </w:p>
        </w:tc>
      </w:tr>
      <w:tr>
        <w:tc>
          <w:tcPr/>
          <w:p>
            <w:pPr>
              <w:pStyle w:val="Compact"/>
              <w:jc w:val="left"/>
            </w:pPr>
            <w:r>
              <w:t xml:space="preserve">TB.INN.AR</w:t>
            </w:r>
          </w:p>
        </w:tc>
        <w:tc>
          <w:tcPr/>
          <w:p>
            <w:pPr>
              <w:pStyle w:val="Compact"/>
              <w:jc w:val="center"/>
            </w:pPr>
            <w:r>
              <w:t xml:space="preserve">259.97 ± 50.65</w:t>
            </w:r>
          </w:p>
        </w:tc>
        <w:tc>
          <w:tcPr/>
          <w:p>
            <w:pPr>
              <w:pStyle w:val="Compact"/>
              <w:jc w:val="center"/>
            </w:pPr>
            <w:r>
              <w:t xml:space="preserve">254.47 ± 55.34</w:t>
            </w:r>
          </w:p>
        </w:tc>
        <w:tc>
          <w:tcPr/>
          <w:p>
            <w:pPr>
              <w:pStyle w:val="Compact"/>
              <w:jc w:val="center"/>
            </w:pPr>
            <w:r>
              <w:t xml:space="preserve">2.2%</w:t>
            </w:r>
          </w:p>
        </w:tc>
        <w:tc>
          <w:tcPr/>
          <w:p>
            <w:pPr>
              <w:pStyle w:val="Compact"/>
              <w:jc w:val="center"/>
            </w:pPr>
            <w:r>
              <w:t xml:space="preserve">0.542</w:t>
            </w:r>
          </w:p>
        </w:tc>
        <w:tc>
          <w:tcPr/>
          <w:p>
            <w:pPr>
              <w:pStyle w:val="Compact"/>
              <w:jc w:val="center"/>
            </w:pPr>
            <w:r>
              <w:t xml:space="preserve">0.10</w:t>
            </w:r>
          </w:p>
        </w:tc>
      </w:tr>
      <w:tr>
        <w:tc>
          <w:tcPr/>
          <w:p>
            <w:pPr>
              <w:pStyle w:val="Compact"/>
              <w:jc w:val="left"/>
            </w:pPr>
            <w:r>
              <w:t xml:space="preserve">ttvBMD</w:t>
            </w:r>
          </w:p>
        </w:tc>
        <w:tc>
          <w:tcPr/>
          <w:p>
            <w:pPr>
              <w:pStyle w:val="Compact"/>
              <w:jc w:val="center"/>
            </w:pPr>
            <w:r>
              <w:t xml:space="preserve">254.89 ± 55.02</w:t>
            </w:r>
          </w:p>
        </w:tc>
        <w:tc>
          <w:tcPr/>
          <w:p>
            <w:pPr>
              <w:pStyle w:val="Compact"/>
              <w:jc w:val="center"/>
            </w:pPr>
            <w:r>
              <w:t xml:space="preserve">273.59 ± 55.14</w:t>
            </w:r>
          </w:p>
        </w:tc>
        <w:tc>
          <w:tcPr/>
          <w:p>
            <w:pPr>
              <w:pStyle w:val="Compact"/>
              <w:jc w:val="center"/>
            </w:pPr>
            <w:r>
              <w:t xml:space="preserve">-6.8%</w:t>
            </w:r>
          </w:p>
        </w:tc>
        <w:tc>
          <w:tcPr/>
          <w:p>
            <w:pPr>
              <w:pStyle w:val="Compact"/>
              <w:jc w:val="center"/>
            </w:pPr>
            <w:r>
              <w:rPr>
                <w:b/>
                <w:bCs/>
              </w:rPr>
              <w:t xml:space="preserve">0.047</w:t>
            </w:r>
          </w:p>
        </w:tc>
        <w:tc>
          <w:tcPr/>
          <w:p>
            <w:pPr>
              <w:pStyle w:val="Compact"/>
              <w:jc w:val="center"/>
            </w:pPr>
            <w:r>
              <w:t xml:space="preserve">0.34</w:t>
            </w:r>
          </w:p>
        </w:tc>
      </w:tr>
      <w:tr>
        <w:tc>
          <w:tcPr/>
          <w:p>
            <w:pPr>
              <w:pStyle w:val="Compact"/>
              <w:jc w:val="left"/>
            </w:pPr>
            <w:r>
              <w:t xml:space="preserve">tbvBMD</w:t>
            </w:r>
          </w:p>
        </w:tc>
        <w:tc>
          <w:tcPr/>
          <w:p>
            <w:pPr>
              <w:pStyle w:val="Compact"/>
              <w:jc w:val="center"/>
            </w:pPr>
            <w:r>
              <w:t xml:space="preserve">100.30 ± 34.25</w:t>
            </w:r>
          </w:p>
        </w:tc>
        <w:tc>
          <w:tcPr/>
          <w:p>
            <w:pPr>
              <w:pStyle w:val="Compact"/>
              <w:jc w:val="center"/>
            </w:pPr>
            <w:r>
              <w:t xml:space="preserve">107.89 ± 31.77</w:t>
            </w:r>
          </w:p>
        </w:tc>
        <w:tc>
          <w:tcPr/>
          <w:p>
            <w:pPr>
              <w:pStyle w:val="Compact"/>
              <w:jc w:val="center"/>
            </w:pPr>
            <w:r>
              <w:t xml:space="preserve">-7.0%</w:t>
            </w:r>
          </w:p>
        </w:tc>
        <w:tc>
          <w:tcPr/>
          <w:p>
            <w:pPr>
              <w:pStyle w:val="Compact"/>
              <w:jc w:val="center"/>
            </w:pPr>
            <w:r>
              <w:t xml:space="preserve">0.176</w:t>
            </w:r>
          </w:p>
        </w:tc>
        <w:tc>
          <w:tcPr/>
          <w:p>
            <w:pPr>
              <w:pStyle w:val="Compact"/>
              <w:jc w:val="center"/>
            </w:pPr>
            <w:r>
              <w:t xml:space="preserve">0.23</w:t>
            </w:r>
          </w:p>
        </w:tc>
      </w:tr>
      <w:tr>
        <w:tc>
          <w:tcPr/>
          <w:p>
            <w:pPr>
              <w:pStyle w:val="Compact"/>
              <w:jc w:val="left"/>
            </w:pPr>
            <w:r>
              <w:t xml:space="preserve">TbMeta.v.BMD</w:t>
            </w:r>
          </w:p>
        </w:tc>
        <w:tc>
          <w:tcPr/>
          <w:p>
            <w:pPr>
              <w:pStyle w:val="Compact"/>
              <w:jc w:val="center"/>
            </w:pPr>
            <w:r>
              <w:t xml:space="preserve">178.41 ± 40.64</w:t>
            </w:r>
          </w:p>
        </w:tc>
        <w:tc>
          <w:tcPr/>
          <w:p>
            <w:pPr>
              <w:pStyle w:val="Compact"/>
              <w:jc w:val="center"/>
            </w:pPr>
            <w:r>
              <w:t xml:space="preserve">185.11 ± 36.55</w:t>
            </w:r>
          </w:p>
        </w:tc>
        <w:tc>
          <w:tcPr/>
          <w:p>
            <w:pPr>
              <w:pStyle w:val="Compact"/>
              <w:jc w:val="center"/>
            </w:pPr>
            <w:r>
              <w:t xml:space="preserve">-3.6%</w:t>
            </w:r>
          </w:p>
        </w:tc>
        <w:tc>
          <w:tcPr/>
          <w:p>
            <w:pPr>
              <w:pStyle w:val="Compact"/>
              <w:jc w:val="center"/>
            </w:pPr>
            <w:r>
              <w:t xml:space="preserve">0.306</w:t>
            </w:r>
          </w:p>
        </w:tc>
        <w:tc>
          <w:tcPr/>
          <w:p>
            <w:pPr>
              <w:pStyle w:val="Compact"/>
              <w:jc w:val="center"/>
            </w:pPr>
            <w:r>
              <w:t xml:space="preserve">0.17</w:t>
            </w:r>
          </w:p>
        </w:tc>
      </w:tr>
      <w:tr>
        <w:tc>
          <w:tcPr/>
          <w:p>
            <w:pPr>
              <w:pStyle w:val="Compact"/>
              <w:jc w:val="left"/>
            </w:pPr>
            <w:r>
              <w:t xml:space="preserve">Tb.inn.BMD</w:t>
            </w:r>
          </w:p>
        </w:tc>
        <w:tc>
          <w:tcPr/>
          <w:p>
            <w:pPr>
              <w:pStyle w:val="Compact"/>
              <w:jc w:val="center"/>
            </w:pPr>
            <w:r>
              <w:t xml:space="preserve">47.33 ± 33.29</w:t>
            </w:r>
          </w:p>
        </w:tc>
        <w:tc>
          <w:tcPr/>
          <w:p>
            <w:pPr>
              <w:pStyle w:val="Compact"/>
              <w:jc w:val="center"/>
            </w:pPr>
            <w:r>
              <w:t xml:space="preserve">55.53 ± 32.24</w:t>
            </w:r>
          </w:p>
        </w:tc>
        <w:tc>
          <w:tcPr/>
          <w:p>
            <w:pPr>
              <w:pStyle w:val="Compact"/>
              <w:jc w:val="center"/>
            </w:pPr>
            <w:r>
              <w:t xml:space="preserve">-14.8%</w:t>
            </w:r>
          </w:p>
        </w:tc>
        <w:tc>
          <w:tcPr/>
          <w:p>
            <w:pPr>
              <w:pStyle w:val="Compact"/>
              <w:jc w:val="center"/>
            </w:pPr>
            <w:r>
              <w:t xml:space="preserve">0.141</w:t>
            </w:r>
          </w:p>
        </w:tc>
        <w:tc>
          <w:tcPr/>
          <w:p>
            <w:pPr>
              <w:pStyle w:val="Compact"/>
              <w:jc w:val="center"/>
            </w:pPr>
            <w:r>
              <w:t xml:space="preserve">0.25</w:t>
            </w:r>
          </w:p>
        </w:tc>
      </w:tr>
      <w:tr>
        <w:tc>
          <w:tcPr/>
          <w:p>
            <w:pPr>
              <w:pStyle w:val="Compact"/>
              <w:jc w:val="left"/>
            </w:pPr>
            <w:r>
              <w:t xml:space="preserve">CTvBMD</w:t>
            </w:r>
          </w:p>
        </w:tc>
        <w:tc>
          <w:tcPr/>
          <w:p>
            <w:pPr>
              <w:pStyle w:val="Compact"/>
              <w:jc w:val="center"/>
            </w:pPr>
            <w:r>
              <w:t xml:space="preserve">893.84 ± 72.65</w:t>
            </w:r>
          </w:p>
        </w:tc>
        <w:tc>
          <w:tcPr/>
          <w:p>
            <w:pPr>
              <w:pStyle w:val="Compact"/>
              <w:jc w:val="center"/>
            </w:pPr>
            <w:r>
              <w:t xml:space="preserve">903.97 ± 76.13</w:t>
            </w:r>
          </w:p>
        </w:tc>
        <w:tc>
          <w:tcPr/>
          <w:p>
            <w:pPr>
              <w:pStyle w:val="Compact"/>
              <w:jc w:val="center"/>
            </w:pPr>
            <w:r>
              <w:t xml:space="preserve">-1.1%</w:t>
            </w:r>
          </w:p>
        </w:tc>
        <w:tc>
          <w:tcPr/>
          <w:p>
            <w:pPr>
              <w:pStyle w:val="Compact"/>
              <w:jc w:val="center"/>
            </w:pPr>
            <w:r>
              <w:t xml:space="preserve">0.423</w:t>
            </w:r>
          </w:p>
        </w:tc>
        <w:tc>
          <w:tcPr/>
          <w:p>
            <w:pPr>
              <w:pStyle w:val="Compact"/>
              <w:jc w:val="center"/>
            </w:pPr>
            <w:r>
              <w:t xml:space="preserve">0.14</w:t>
            </w:r>
          </w:p>
        </w:tc>
      </w:tr>
      <w:tr>
        <w:tc>
          <w:tcPr/>
          <w:p>
            <w:pPr>
              <w:pStyle w:val="Compact"/>
              <w:jc w:val="left"/>
            </w:pPr>
            <w:r>
              <w:t xml:space="preserve">BV/TV</w:t>
            </w:r>
          </w:p>
        </w:tc>
        <w:tc>
          <w:tcPr/>
          <w:p>
            <w:pPr>
              <w:pStyle w:val="Compact"/>
              <w:jc w:val="center"/>
            </w:pPr>
            <w:r>
              <w:t xml:space="preserve">0.16 ± 0.04</w:t>
            </w:r>
          </w:p>
        </w:tc>
        <w:tc>
          <w:tcPr/>
          <w:p>
            <w:pPr>
              <w:pStyle w:val="Compact"/>
              <w:jc w:val="center"/>
            </w:pPr>
            <w:r>
              <w:t xml:space="preserve">0.17 ± 0.04</w:t>
            </w:r>
          </w:p>
        </w:tc>
        <w:tc>
          <w:tcPr/>
          <w:p>
            <w:pPr>
              <w:pStyle w:val="Compact"/>
              <w:jc w:val="center"/>
            </w:pPr>
            <w:r>
              <w:t xml:space="preserve">-3.6%</w:t>
            </w:r>
          </w:p>
        </w:tc>
        <w:tc>
          <w:tcPr/>
          <w:p>
            <w:pPr>
              <w:pStyle w:val="Compact"/>
              <w:jc w:val="center"/>
            </w:pPr>
            <w:r>
              <w:t xml:space="preserve">0.384</w:t>
            </w:r>
          </w:p>
        </w:tc>
        <w:tc>
          <w:tcPr/>
          <w:p>
            <w:pPr>
              <w:pStyle w:val="Compact"/>
              <w:jc w:val="center"/>
            </w:pPr>
            <w:r>
              <w:t xml:space="preserve">0.15</w:t>
            </w:r>
          </w:p>
        </w:tc>
      </w:tr>
      <w:tr>
        <w:tc>
          <w:tcPr/>
          <w:p>
            <w:pPr>
              <w:pStyle w:val="Compact"/>
              <w:jc w:val="left"/>
            </w:pPr>
            <w:r>
              <w:t xml:space="preserve">TB.N</w:t>
            </w:r>
          </w:p>
        </w:tc>
        <w:tc>
          <w:tcPr/>
          <w:p>
            <w:pPr>
              <w:pStyle w:val="Compact"/>
              <w:jc w:val="center"/>
            </w:pPr>
            <w:r>
              <w:t xml:space="preserve">0.85 ± 0.22</w:t>
            </w:r>
          </w:p>
        </w:tc>
        <w:tc>
          <w:tcPr/>
          <w:p>
            <w:pPr>
              <w:pStyle w:val="Compact"/>
              <w:jc w:val="center"/>
            </w:pPr>
            <w:r>
              <w:t xml:space="preserve">0.92 ± 0.19</w:t>
            </w:r>
          </w:p>
        </w:tc>
        <w:tc>
          <w:tcPr/>
          <w:p>
            <w:pPr>
              <w:pStyle w:val="Compact"/>
              <w:jc w:val="center"/>
            </w:pPr>
            <w:r>
              <w:t xml:space="preserve">-8.1%</w:t>
            </w:r>
          </w:p>
        </w:tc>
        <w:tc>
          <w:tcPr/>
          <w:p>
            <w:pPr>
              <w:pStyle w:val="Compact"/>
              <w:jc w:val="center"/>
            </w:pPr>
            <w:r>
              <w:rPr>
                <w:b/>
                <w:bCs/>
              </w:rPr>
              <w:t xml:space="preserve">0.032</w:t>
            </w:r>
          </w:p>
        </w:tc>
        <w:tc>
          <w:tcPr/>
          <w:p>
            <w:pPr>
              <w:pStyle w:val="Compact"/>
              <w:jc w:val="center"/>
            </w:pPr>
            <w:r>
              <w:t xml:space="preserve">0.36</w:t>
            </w:r>
          </w:p>
        </w:tc>
      </w:tr>
      <w:tr>
        <w:tc>
          <w:tcPr/>
          <w:p>
            <w:pPr>
              <w:pStyle w:val="Compact"/>
              <w:jc w:val="left"/>
            </w:pPr>
            <w:r>
              <w:t xml:space="preserve">TB.TH</w:t>
            </w:r>
          </w:p>
        </w:tc>
        <w:tc>
          <w:tcPr/>
          <w:p>
            <w:pPr>
              <w:pStyle w:val="Compact"/>
              <w:jc w:val="center"/>
            </w:pPr>
            <w:r>
              <w:t xml:space="preserve">0.25 ± 0.03</w:t>
            </w:r>
          </w:p>
        </w:tc>
        <w:tc>
          <w:tcPr/>
          <w:p>
            <w:pPr>
              <w:pStyle w:val="Compact"/>
              <w:jc w:val="center"/>
            </w:pPr>
            <w:r>
              <w:t xml:space="preserve">0.25 ± 0.02</w:t>
            </w:r>
          </w:p>
        </w:tc>
        <w:tc>
          <w:tcPr/>
          <w:p>
            <w:pPr>
              <w:pStyle w:val="Compact"/>
              <w:jc w:val="center"/>
            </w:pPr>
            <w:r>
              <w:t xml:space="preserve">0.5%</w:t>
            </w:r>
          </w:p>
        </w:tc>
        <w:tc>
          <w:tcPr/>
          <w:p>
            <w:pPr>
              <w:pStyle w:val="Compact"/>
              <w:jc w:val="center"/>
            </w:pPr>
            <w:r>
              <w:t xml:space="preserve">0.763</w:t>
            </w:r>
          </w:p>
        </w:tc>
        <w:tc>
          <w:tcPr/>
          <w:p>
            <w:pPr>
              <w:pStyle w:val="Compact"/>
              <w:jc w:val="center"/>
            </w:pPr>
            <w:r>
              <w:t xml:space="preserve">0.05</w:t>
            </w:r>
          </w:p>
        </w:tc>
      </w:tr>
      <w:tr>
        <w:tc>
          <w:tcPr/>
          <w:p>
            <w:pPr>
              <w:pStyle w:val="Compact"/>
              <w:jc w:val="left"/>
            </w:pPr>
            <w:r>
              <w:t xml:space="preserve">TB.SP</w:t>
            </w:r>
          </w:p>
        </w:tc>
        <w:tc>
          <w:tcPr/>
          <w:p>
            <w:pPr>
              <w:pStyle w:val="Compact"/>
              <w:jc w:val="center"/>
            </w:pPr>
            <w:r>
              <w:t xml:space="preserve">1.28 ± 0.44</w:t>
            </w:r>
          </w:p>
        </w:tc>
        <w:tc>
          <w:tcPr/>
          <w:p>
            <w:pPr>
              <w:pStyle w:val="Compact"/>
              <w:jc w:val="center"/>
            </w:pPr>
            <w:r>
              <w:t xml:space="preserve">1.14 ± 0.36</w:t>
            </w:r>
          </w:p>
        </w:tc>
        <w:tc>
          <w:tcPr/>
          <w:p>
            <w:pPr>
              <w:pStyle w:val="Compact"/>
              <w:jc w:val="center"/>
            </w:pPr>
            <w:r>
              <w:t xml:space="preserve">12.4%</w:t>
            </w:r>
          </w:p>
        </w:tc>
        <w:tc>
          <w:tcPr/>
          <w:p>
            <w:pPr>
              <w:pStyle w:val="Compact"/>
              <w:jc w:val="center"/>
            </w:pPr>
            <w:r>
              <w:rPr>
                <w:b/>
                <w:bCs/>
              </w:rPr>
              <w:t xml:space="preserve">0.042</w:t>
            </w:r>
          </w:p>
        </w:tc>
        <w:tc>
          <w:tcPr/>
          <w:p>
            <w:pPr>
              <w:pStyle w:val="Compact"/>
              <w:jc w:val="center"/>
            </w:pPr>
            <w:r>
              <w:t xml:space="preserve">0.34</w:t>
            </w:r>
          </w:p>
        </w:tc>
      </w:tr>
      <w:tr>
        <w:tc>
          <w:tcPr/>
          <w:p>
            <w:pPr>
              <w:pStyle w:val="Compact"/>
              <w:jc w:val="left"/>
            </w:pPr>
            <w:r>
              <w:t xml:space="preserve">TB.1/N.SD</w:t>
            </w:r>
          </w:p>
        </w:tc>
        <w:tc>
          <w:tcPr/>
          <w:p>
            <w:pPr>
              <w:pStyle w:val="Compact"/>
              <w:jc w:val="center"/>
            </w:pPr>
            <w:r>
              <w:t xml:space="preserve">0.72 ± 0.51</w:t>
            </w:r>
          </w:p>
        </w:tc>
        <w:tc>
          <w:tcPr/>
          <w:p>
            <w:pPr>
              <w:pStyle w:val="Compact"/>
              <w:jc w:val="center"/>
            </w:pPr>
            <w:r>
              <w:t xml:space="preserve">0.55 ± 0.43</w:t>
            </w:r>
          </w:p>
        </w:tc>
        <w:tc>
          <w:tcPr/>
          <w:p>
            <w:pPr>
              <w:pStyle w:val="Compact"/>
              <w:jc w:val="center"/>
            </w:pPr>
            <w:r>
              <w:t xml:space="preserve">31.5%</w:t>
            </w:r>
          </w:p>
        </w:tc>
        <w:tc>
          <w:tcPr/>
          <w:p>
            <w:pPr>
              <w:pStyle w:val="Compact"/>
              <w:jc w:val="center"/>
            </w:pPr>
            <w:r>
              <w:rPr>
                <w:b/>
                <w:bCs/>
              </w:rPr>
              <w:t xml:space="preserve">0.033</w:t>
            </w:r>
          </w:p>
        </w:tc>
        <w:tc>
          <w:tcPr/>
          <w:p>
            <w:pPr>
              <w:pStyle w:val="Compact"/>
              <w:jc w:val="center"/>
            </w:pPr>
            <w:r>
              <w:t xml:space="preserve">0.36</w:t>
            </w:r>
          </w:p>
        </w:tc>
      </w:tr>
      <w:tr>
        <w:tc>
          <w:tcPr/>
          <w:p>
            <w:pPr>
              <w:pStyle w:val="Compact"/>
              <w:jc w:val="left"/>
            </w:pPr>
            <w:r>
              <w:t xml:space="preserve">CT.TH</w:t>
            </w:r>
          </w:p>
        </w:tc>
        <w:tc>
          <w:tcPr/>
          <w:p>
            <w:pPr>
              <w:pStyle w:val="Compact"/>
              <w:jc w:val="center"/>
            </w:pPr>
            <w:r>
              <w:t xml:space="preserve">1.36 ± 0.27</w:t>
            </w:r>
          </w:p>
        </w:tc>
        <w:tc>
          <w:tcPr/>
          <w:p>
            <w:pPr>
              <w:pStyle w:val="Compact"/>
              <w:jc w:val="center"/>
            </w:pPr>
            <w:r>
              <w:t xml:space="preserve">1.45 ± 0.24</w:t>
            </w:r>
          </w:p>
        </w:tc>
        <w:tc>
          <w:tcPr/>
          <w:p>
            <w:pPr>
              <w:pStyle w:val="Compact"/>
              <w:jc w:val="center"/>
            </w:pPr>
            <w:r>
              <w:t xml:space="preserve">-6.0%</w:t>
            </w:r>
          </w:p>
        </w:tc>
        <w:tc>
          <w:tcPr/>
          <w:p>
            <w:pPr>
              <w:pStyle w:val="Compact"/>
              <w:jc w:val="center"/>
            </w:pPr>
            <w:r>
              <w:rPr>
                <w:b/>
                <w:bCs/>
              </w:rPr>
              <w:t xml:space="preserve">0.046</w:t>
            </w:r>
          </w:p>
        </w:tc>
        <w:tc>
          <w:tcPr/>
          <w:p>
            <w:pPr>
              <w:pStyle w:val="Compact"/>
              <w:jc w:val="center"/>
            </w:pPr>
            <w:r>
              <w:t xml:space="preserve">0.34</w:t>
            </w:r>
          </w:p>
        </w:tc>
      </w:tr>
      <w:tr>
        <w:tc>
          <w:tcPr/>
          <w:p>
            <w:pPr>
              <w:pStyle w:val="Compact"/>
              <w:jc w:val="left"/>
            </w:pPr>
            <w:r>
              <w:t xml:space="preserve">CT.PO</w:t>
            </w:r>
          </w:p>
        </w:tc>
        <w:tc>
          <w:tcPr/>
          <w:p>
            <w:pPr>
              <w:pStyle w:val="Compact"/>
              <w:jc w:val="center"/>
            </w:pPr>
            <w:r>
              <w:t xml:space="preserve">0.04 ± 0.08</w:t>
            </w:r>
          </w:p>
        </w:tc>
        <w:tc>
          <w:tcPr/>
          <w:p>
            <w:pPr>
              <w:pStyle w:val="Compact"/>
              <w:jc w:val="center"/>
            </w:pPr>
            <w:r>
              <w:t xml:space="preserve">0.05 ± 0.12</w:t>
            </w:r>
          </w:p>
        </w:tc>
        <w:tc>
          <w:tcPr/>
          <w:p>
            <w:pPr>
              <w:pStyle w:val="Compact"/>
              <w:jc w:val="center"/>
            </w:pPr>
            <w:r>
              <w:t xml:space="preserve">-12.7%</w:t>
            </w:r>
          </w:p>
        </w:tc>
        <w:tc>
          <w:tcPr/>
          <w:p>
            <w:pPr>
              <w:pStyle w:val="Compact"/>
              <w:jc w:val="center"/>
            </w:pPr>
            <w:r>
              <w:t xml:space="preserve">0.738</w:t>
            </w:r>
          </w:p>
        </w:tc>
        <w:tc>
          <w:tcPr/>
          <w:p>
            <w:pPr>
              <w:pStyle w:val="Compact"/>
              <w:jc w:val="center"/>
            </w:pPr>
            <w:r>
              <w:t xml:space="preserve">0.06</w:t>
            </w:r>
          </w:p>
        </w:tc>
      </w:tr>
      <w:tr>
        <w:tc>
          <w:tcPr/>
          <w:p>
            <w:pPr>
              <w:pStyle w:val="Compact"/>
              <w:jc w:val="left"/>
            </w:pPr>
            <w:r>
              <w:t xml:space="preserve">CT.PO.DM</w:t>
            </w:r>
          </w:p>
        </w:tc>
        <w:tc>
          <w:tcPr/>
          <w:p>
            <w:pPr>
              <w:pStyle w:val="Compact"/>
              <w:jc w:val="center"/>
            </w:pPr>
            <w:r>
              <w:t xml:space="preserve">0.23 ± 0.04</w:t>
            </w:r>
          </w:p>
        </w:tc>
        <w:tc>
          <w:tcPr/>
          <w:p>
            <w:pPr>
              <w:pStyle w:val="Compact"/>
              <w:jc w:val="center"/>
            </w:pPr>
            <w:r>
              <w:t xml:space="preserve">0.23 ± 0.04</w:t>
            </w:r>
          </w:p>
        </w:tc>
        <w:tc>
          <w:tcPr/>
          <w:p>
            <w:pPr>
              <w:pStyle w:val="Compact"/>
              <w:jc w:val="center"/>
            </w:pPr>
            <w:r>
              <w:t xml:space="preserve">-0.5%</w:t>
            </w:r>
          </w:p>
        </w:tc>
        <w:tc>
          <w:tcPr/>
          <w:p>
            <w:pPr>
              <w:pStyle w:val="Compact"/>
              <w:jc w:val="center"/>
            </w:pPr>
            <w:r>
              <w:t xml:space="preserve">0.847</w:t>
            </w:r>
          </w:p>
        </w:tc>
        <w:tc>
          <w:tcPr/>
          <w:p>
            <w:pPr>
              <w:pStyle w:val="Compact"/>
              <w:jc w:val="center"/>
            </w:pPr>
            <w:r>
              <w:t xml:space="preserve">0.03</w:t>
            </w:r>
          </w:p>
        </w:tc>
      </w:tr>
      <w:tr>
        <w:tc>
          <w:tcPr/>
          <w:p>
            <w:pPr>
              <w:pStyle w:val="Compact"/>
              <w:jc w:val="left"/>
            </w:pPr>
            <w:r>
              <w:t xml:space="preserve">Stiffness</w:t>
            </w:r>
          </w:p>
        </w:tc>
        <w:tc>
          <w:tcPr/>
          <w:p>
            <w:pPr>
              <w:pStyle w:val="Compact"/>
              <w:jc w:val="center"/>
            </w:pPr>
            <w:r>
              <w:t xml:space="preserve">126178.55 ± 23133.47</w:t>
            </w:r>
          </w:p>
        </w:tc>
        <w:tc>
          <w:tcPr/>
          <w:p>
            <w:pPr>
              <w:pStyle w:val="Compact"/>
              <w:jc w:val="center"/>
            </w:pPr>
            <w:r>
              <w:t xml:space="preserve">131999.14 ± 25554.39</w:t>
            </w:r>
          </w:p>
        </w:tc>
        <w:tc>
          <w:tcPr/>
          <w:p>
            <w:pPr>
              <w:pStyle w:val="Compact"/>
              <w:jc w:val="center"/>
            </w:pPr>
            <w:r>
              <w:t xml:space="preserve">-4.4%</w:t>
            </w:r>
          </w:p>
        </w:tc>
        <w:tc>
          <w:tcPr/>
          <w:p>
            <w:pPr>
              <w:pStyle w:val="Compact"/>
              <w:jc w:val="center"/>
            </w:pPr>
            <w:r>
              <w:t xml:space="preserve">0.161</w:t>
            </w:r>
          </w:p>
        </w:tc>
        <w:tc>
          <w:tcPr/>
          <w:p>
            <w:pPr>
              <w:pStyle w:val="Compact"/>
              <w:jc w:val="center"/>
            </w:pPr>
            <w:r>
              <w:t xml:space="preserve">0.24</w:t>
            </w:r>
          </w:p>
        </w:tc>
      </w:tr>
      <w:tr>
        <w:tc>
          <w:tcPr/>
          <w:p>
            <w:pPr>
              <w:pStyle w:val="Compact"/>
              <w:jc w:val="left"/>
            </w:pPr>
            <w:r>
              <w:t xml:space="preserve">F.Load</w:t>
            </w:r>
          </w:p>
        </w:tc>
        <w:tc>
          <w:tcPr/>
          <w:p>
            <w:pPr>
              <w:pStyle w:val="Compact"/>
              <w:jc w:val="center"/>
            </w:pPr>
            <w:r>
              <w:t xml:space="preserve">-6900.76 ± 1254.06</w:t>
            </w:r>
          </w:p>
        </w:tc>
        <w:tc>
          <w:tcPr/>
          <w:p>
            <w:pPr>
              <w:pStyle w:val="Compact"/>
              <w:jc w:val="center"/>
            </w:pPr>
            <w:r>
              <w:t xml:space="preserve">-7214.07 ± 1395.46</w:t>
            </w:r>
          </w:p>
        </w:tc>
        <w:tc>
          <w:tcPr/>
          <w:p>
            <w:pPr>
              <w:pStyle w:val="Compact"/>
              <w:jc w:val="center"/>
            </w:pPr>
            <w:r>
              <w:t xml:space="preserve">-4.3%</w:t>
            </w:r>
          </w:p>
        </w:tc>
        <w:tc>
          <w:tcPr/>
          <w:p>
            <w:pPr>
              <w:pStyle w:val="Compact"/>
              <w:jc w:val="center"/>
            </w:pPr>
            <w:r>
              <w:t xml:space="preserve">0.166</w:t>
            </w:r>
          </w:p>
        </w:tc>
        <w:tc>
          <w:tcPr/>
          <w:p>
            <w:pPr>
              <w:pStyle w:val="Compact"/>
              <w:jc w:val="center"/>
            </w:pPr>
            <w:r>
              <w:t xml:space="preserve">0.24</w:t>
            </w:r>
          </w:p>
        </w:tc>
      </w:tr>
    </w:tbl>
    <w:bookmarkEnd w:id="48"/>
    <w:bookmarkEnd w:id="49"/>
    <w:bookmarkEnd w:id="50"/>
    <w:bookmarkStart w:id="56" w:name="discussion"/>
    <w:p>
      <w:pPr>
        <w:pStyle w:val="Heading1"/>
      </w:pPr>
      <w:r>
        <w:t xml:space="preserve">6. Discussion</w:t>
      </w:r>
    </w:p>
    <w:p>
      <w:pPr>
        <w:pStyle w:val="FirstParagraph"/>
      </w:pPr>
      <w:r>
        <w:t xml:space="preserve">In this cross-sectional study of postmenopausal women, we demonstrate that skeletal fragility in the</w:t>
      </w:r>
      <w:r>
        <w:t xml:space="preserve"> </w:t>
      </w:r>
      <w:r>
        <w:t xml:space="preserve">“Osteopenic Grey Zone”</w:t>
      </w:r>
      <w:r>
        <w:t xml:space="preserve"> </w:t>
      </w:r>
      <w:r>
        <w:t xml:space="preserve">(</w:t>
      </w:r>
      <m:oMath>
        <m:r>
          <m:t>T</m:t>
        </m:r>
      </m:oMath>
      <w:r>
        <w:t xml:space="preserve">-score -1.0 to -2.5) is driven by profound microarchitectural and biomechanical deficits that remain largely invisible to standard areal densitometry. Our findings resolve the</w:t>
      </w:r>
      <w:r>
        <w:t xml:space="preserve"> </w:t>
      </w:r>
      <w:r>
        <w:t xml:space="preserve">“prevention paradox”</w:t>
      </w:r>
      <w:r>
        <w:t xml:space="preserve"> </w:t>
      </w:r>
      <w:r>
        <w:t xml:space="preserve">by identifying</w:t>
      </w:r>
      <w:r>
        <w:t xml:space="preserve"> </w:t>
      </w:r>
      <w:r>
        <w:rPr>
          <w:b/>
          <w:bCs/>
        </w:rPr>
        <w:t xml:space="preserve">Trabecular Disconnection</w:t>
      </w:r>
      <w:r>
        <w:t xml:space="preserve"> </w:t>
      </w:r>
      <w:r>
        <w:t xml:space="preserve">as the primary failure mode in general osteopenia. Furthermore, our data provides a nuanced update to the diabetic bone phenotype, suggesting that trabecular decay precedes cortical defects in the early stages of the disease, challenging the prevailing</w:t>
      </w:r>
      <w:r>
        <w:t xml:space="preserve"> </w:t>
      </w:r>
      <w:r>
        <w:t xml:space="preserve">“Cortical Switch”</w:t>
      </w:r>
      <w:r>
        <w:t xml:space="preserve"> </w:t>
      </w:r>
      <w:r>
        <w:t xml:space="preserve">dogma in this specific sub-population.</w:t>
      </w:r>
    </w:p>
    <w:bookmarkStart w:id="51" w:name="X5b798bba5987520d93aa554d12cce11d8aa5800"/>
    <w:p>
      <w:pPr>
        <w:pStyle w:val="Heading2"/>
      </w:pPr>
      <w:r>
        <w:t xml:space="preserve">6.1 The Failure of DXA and the</w:t>
      </w:r>
      <w:r>
        <w:t xml:space="preserve"> </w:t>
      </w:r>
      <w:r>
        <w:t xml:space="preserve">“Grey Zone”</w:t>
      </w:r>
      <w:r>
        <w:t xml:space="preserve"> </w:t>
      </w:r>
      <w:r>
        <w:t xml:space="preserve">Paradox</w:t>
      </w:r>
    </w:p>
    <w:p>
      <w:pPr>
        <w:pStyle w:val="FirstParagraph"/>
      </w:pPr>
      <w:r>
        <w:t xml:space="preserve">The clinical reliance on</w:t>
      </w:r>
      <w:r>
        <w:t xml:space="preserve"> </w:t>
      </w:r>
      <m:oMath>
        <m:r>
          <m:t>a</m:t>
        </m:r>
        <m:r>
          <m:t>B</m:t>
        </m:r>
        <m:r>
          <m:t>M</m:t>
        </m:r>
        <m:r>
          <m:t>D</m:t>
        </m:r>
      </m:oMath>
      <w:r>
        <w:t xml:space="preserve"> </w:t>
      </w:r>
      <m:oMath>
        <m:r>
          <m:t>T</m:t>
        </m:r>
      </m:oMath>
      <w:r>
        <w:t xml:space="preserve">-scores often creates a false sense of security in patients within the moderate-risk range. Our results show that in the osteopenic sub-cohort (</w:t>
      </w:r>
      <m:oMath>
        <m:r>
          <m:t>n</m:t>
        </m:r>
        <m:r>
          <m:rPr>
            <m:sty m:val="p"/>
          </m:rPr>
          <m:t>=</m:t>
        </m:r>
        <m:r>
          <m:t>91</m:t>
        </m:r>
      </m:oMath>
      <w:r>
        <w:t xml:space="preserve">), the combined clinical model (DXA + FRAX + TBS) yielded an AUC of only 0.60, effectively failing to discriminate between those with and without fractures. This aligns with previous findings that</w:t>
      </w:r>
      <w:r>
        <w:t xml:space="preserve"> </w:t>
      </w:r>
      <m:oMath>
        <m:r>
          <m:t>a</m:t>
        </m:r>
        <m:r>
          <m:t>B</m:t>
        </m:r>
        <m:r>
          <m:t>M</m:t>
        </m:r>
        <m:r>
          <m:t>D</m:t>
        </m:r>
      </m:oMath>
      <w:r>
        <w:t xml:space="preserve"> </w:t>
      </w:r>
      <w:r>
        <w:t xml:space="preserve">lacks the sensitivity to capture structural decay</w:t>
      </w:r>
      <w:r>
        <w:rPr>
          <w:vertAlign w:val="superscript"/>
        </w:rPr>
        <w:t xml:space="preserve">1,6</w:t>
      </w:r>
      <w:r>
        <w:t xml:space="preserve">.</w:t>
      </w:r>
    </w:p>
    <w:p>
      <w:pPr>
        <w:pStyle w:val="BodyText"/>
      </w:pPr>
      <w:r>
        <w:t xml:space="preserve">In contrast, the structural model provided a large effect size (Cohen’s</w:t>
      </w:r>
      <w:r>
        <w:t xml:space="preserve"> </w:t>
      </w:r>
      <m:oMath>
        <m:r>
          <m:t>d</m:t>
        </m:r>
        <m:r>
          <m:rPr>
            <m:sty m:val="p"/>
          </m:rPr>
          <m:t>=</m:t>
        </m:r>
        <m:r>
          <m:t>0.83</m:t>
        </m:r>
      </m:oMath>
      <w:r>
        <w:t xml:space="preserve">), underscoring that the</w:t>
      </w:r>
      <w:r>
        <w:t xml:space="preserve"> </w:t>
      </w:r>
      <w:r>
        <w:t xml:space="preserve">“hidden”</w:t>
      </w:r>
      <w:r>
        <w:t xml:space="preserve"> </w:t>
      </w:r>
      <w:r>
        <w:t xml:space="preserve">fragility in osteopenia is not a lack of mass, but a catastrophic loss of connectivity. While some studies suggest preserved trabecular bone in T2DM</w:t>
      </w:r>
      <w:r>
        <w:rPr>
          <w:vertAlign w:val="superscript"/>
        </w:rPr>
        <w:t xml:space="preserve">7</w:t>
      </w:r>
      <w:r>
        <w:t xml:space="preserve">, our osteopenic cohort reveals this is not protective against fracture. While TBS is often used as a proxy for microarchitecture, our data suggests that in the moderate-risk range, it lacks the resolution of HR-pQCT to detect the early stages of trabecular thinning and disconnection, consistent with recent reviews</w:t>
      </w:r>
      <w:r>
        <w:rPr>
          <w:vertAlign w:val="superscript"/>
        </w:rPr>
        <w:t xml:space="preserve">8,9</w:t>
      </w:r>
      <w:r>
        <w:t xml:space="preserve">.</w:t>
      </w:r>
    </w:p>
    <w:bookmarkEnd w:id="51"/>
    <w:bookmarkStart w:id="52" w:name="Xe3ac491975bfd8748eb3e72e465a6f0c93e81ab"/>
    <w:p>
      <w:pPr>
        <w:pStyle w:val="Heading2"/>
      </w:pPr>
      <w:r>
        <w:t xml:space="preserve">6.2 Trabecular Disconnection: The Mechanism of General Fragility</w:t>
      </w:r>
    </w:p>
    <w:p>
      <w:pPr>
        <w:pStyle w:val="FirstParagraph"/>
      </w:pPr>
      <w:r>
        <w:t xml:space="preserve">A primary finding of this study is the significant reduction in</w:t>
      </w:r>
      <w:r>
        <w:t xml:space="preserve"> </w:t>
      </w:r>
      <m:oMath>
        <m:r>
          <m:t>T</m:t>
        </m:r>
        <m:r>
          <m:t>b</m:t>
        </m:r>
        <m:r>
          <m:rPr>
            <m:sty m:val="p"/>
          </m:rPr>
          <m:t>.</m:t>
        </m:r>
        <m:r>
          <m:t>N</m:t>
        </m:r>
      </m:oMath>
      <w:r>
        <w:t xml:space="preserve"> </w:t>
      </w:r>
      <w:r>
        <w:t xml:space="preserve">(-11.6%) and Total</w:t>
      </w:r>
      <w:r>
        <w:t xml:space="preserve"> </w:t>
      </w:r>
      <m:oMath>
        <m:r>
          <m:t>v</m:t>
        </m:r>
        <m:r>
          <m:t>B</m:t>
        </m:r>
        <m:r>
          <m:t>M</m:t>
        </m:r>
        <m:r>
          <m:t>D</m:t>
        </m:r>
      </m:oMath>
      <w:r>
        <w:t xml:space="preserve"> </w:t>
      </w:r>
      <w:r>
        <w:t xml:space="preserve">(-13.4%) in fractured osteopenic women compared to age-matched controls. From a biological first-principle perspective, the loss of trabecular number is far more detrimental to biomechanical competence than simple trabecular thinning. As trabeculae are lost, the remaining structure loses its lateral</w:t>
      </w:r>
      <w:r>
        <w:t xml:space="preserve"> </w:t>
      </w:r>
      <w:r>
        <w:t xml:space="preserve">“bracing,”</w:t>
      </w:r>
      <w:r>
        <w:t xml:space="preserve"> </w:t>
      </w:r>
      <w:r>
        <w:t xml:space="preserve">leading to a non-linear decrease in stiffness and Failure Load.</w:t>
      </w:r>
    </w:p>
    <w:p>
      <w:pPr>
        <w:pStyle w:val="BodyText"/>
      </w:pPr>
      <w:r>
        <w:t xml:space="preserve">Our identified</w:t>
      </w:r>
      <w:r>
        <w:t xml:space="preserve"> </w:t>
      </w:r>
      <m:oMath>
        <m:r>
          <m:t>T</m:t>
        </m:r>
        <m:r>
          <m:t>b</m:t>
        </m:r>
        <m:r>
          <m:rPr>
            <m:sty m:val="p"/>
          </m:rPr>
          <m:t>.</m:t>
        </m:r>
        <m:r>
          <m:t>N</m:t>
        </m:r>
      </m:oMath>
      <w:r>
        <w:t xml:space="preserve"> </w:t>
      </w:r>
      <w:r>
        <w:t xml:space="preserve">threshold aligns with the</w:t>
      </w:r>
      <w:r>
        <w:t xml:space="preserve"> </w:t>
      </w:r>
      <w:r>
        <w:rPr>
          <w:b/>
          <w:bCs/>
        </w:rPr>
        <w:t xml:space="preserve">OFELY study</w:t>
      </w:r>
      <w:r>
        <w:t xml:space="preserve"> </w:t>
      </w:r>
      <w:r>
        <w:t xml:space="preserve">by Sornay-Rendu et al., which posited that trabecular deterioration is the hallmark of non-vertebral fracture risk</w:t>
      </w:r>
      <w:r>
        <w:rPr>
          <w:vertAlign w:val="superscript"/>
        </w:rPr>
        <w:t xml:space="preserve">1</w:t>
      </w:r>
      <w:r>
        <w:t xml:space="preserve">. In the</w:t>
      </w:r>
      <w:r>
        <w:t xml:space="preserve"> </w:t>
      </w:r>
      <w:r>
        <w:t xml:space="preserve">“Grey Zone,”</w:t>
      </w:r>
      <w:r>
        <w:t xml:space="preserve"> </w:t>
      </w:r>
      <w:r>
        <w:t xml:space="preserve">this disconnection represents the tipping point where a moderate reduction in mass leads to a disproportionate increase in fragility.</w:t>
      </w:r>
    </w:p>
    <w:bookmarkEnd w:id="52"/>
    <w:bookmarkStart w:id="53" w:name="X224517949767483420d16bb3f7d6e101efbd656"/>
    <w:p>
      <w:pPr>
        <w:pStyle w:val="Heading2"/>
      </w:pPr>
      <w:r>
        <w:t xml:space="preserve">6.3 The Diabetic</w:t>
      </w:r>
      <w:r>
        <w:t xml:space="preserve"> </w:t>
      </w:r>
      <w:r>
        <w:t xml:space="preserve">“Non-Switch”</w:t>
      </w:r>
      <w:r>
        <w:t xml:space="preserve">: A Temporal Hypothesis</w:t>
      </w:r>
    </w:p>
    <w:p>
      <w:pPr>
        <w:pStyle w:val="FirstParagraph"/>
      </w:pPr>
      <w:r>
        <w:t xml:space="preserve">Our subgroup analysis of T2DM patients (</w:t>
      </w:r>
      <m:oMath>
        <m:r>
          <m:t>n</m:t>
        </m:r>
        <m:r>
          <m:rPr>
            <m:sty m:val="p"/>
          </m:rPr>
          <m:t>=</m:t>
        </m:r>
        <m:r>
          <m:t>66</m:t>
        </m:r>
      </m:oMath>
      <w:r>
        <w:t xml:space="preserve"> </w:t>
      </w:r>
      <w:r>
        <w:t xml:space="preserve">in the grey zone) provides a striking insight that refines the current understanding of diabetic bone disease.</w:t>
      </w:r>
    </w:p>
    <w:p>
      <w:pPr>
        <w:pStyle w:val="BodyText"/>
      </w:pPr>
      <w:r>
        <w:rPr>
          <w:b/>
          <w:bCs/>
        </w:rPr>
        <w:t xml:space="preserve">Challenging the Cortical Primacy:</w:t>
      </w:r>
      <w:r>
        <w:t xml:space="preserve"> </w:t>
      </w:r>
      <w:r>
        <w:t xml:space="preserve">Seminal work by Patsch et al.</w:t>
      </w:r>
      <w:r>
        <w:rPr>
          <w:vertAlign w:val="superscript"/>
        </w:rPr>
        <w:t xml:space="preserve">10</w:t>
      </w:r>
      <w:r>
        <w:t xml:space="preserve"> </w:t>
      </w:r>
      <w:r>
        <w:t xml:space="preserve">and others has established</w:t>
      </w:r>
      <w:r>
        <w:t xml:space="preserve"> </w:t>
      </w:r>
      <w:r>
        <w:rPr>
          <w:b/>
          <w:bCs/>
        </w:rPr>
        <w:t xml:space="preserve">Cortical Porosity</w:t>
      </w:r>
      <w:r>
        <w:t xml:space="preserve"> </w:t>
      </w:r>
      <w:r>
        <w:t xml:space="preserve">as the signature defect in diabetic osteoporosis</w:t>
      </w:r>
      <w:r>
        <w:rPr>
          <w:vertAlign w:val="superscript"/>
        </w:rPr>
        <w:t xml:space="preserve">10–12</w:t>
      </w:r>
      <w:r>
        <w:t xml:space="preserve">. However, these studies predominantly focused on cohorts with established fragility or broader BMD ranges. In our specific</w:t>
      </w:r>
      <w:r>
        <w:t xml:space="preserve"> </w:t>
      </w:r>
      <w:r>
        <w:rPr>
          <w:b/>
          <w:bCs/>
        </w:rPr>
        <w:t xml:space="preserve">osteopenic</w:t>
      </w:r>
      <w:r>
        <w:t xml:space="preserve"> </w:t>
      </w:r>
      <w:r>
        <w:t xml:space="preserve">cohort, we found that cortical porosity was</w:t>
      </w:r>
      <w:r>
        <w:t xml:space="preserve"> </w:t>
      </w:r>
      <w:r>
        <w:rPr>
          <w:b/>
          <w:bCs/>
        </w:rPr>
        <w:t xml:space="preserve">not</w:t>
      </w:r>
      <w:r>
        <w:t xml:space="preserve"> </w:t>
      </w:r>
      <w:r>
        <w:t xml:space="preserve">the primary discriminator (</w:t>
      </w:r>
      <m:oMath>
        <m:r>
          <m:t>p</m:t>
        </m:r>
        <m:r>
          <m:rPr>
            <m:sty m:val="p"/>
          </m:rPr>
          <m:t>=</m:t>
        </m:r>
        <m:r>
          <m:t>0.26</m:t>
        </m:r>
      </m:oMath>
      <w:r>
        <w:t xml:space="preserve">). Instead,</w:t>
      </w:r>
      <w:r>
        <w:t xml:space="preserve"> </w:t>
      </w:r>
      <w:r>
        <w:rPr>
          <w:b/>
          <w:bCs/>
        </w:rPr>
        <w:t xml:space="preserve">Trabecular Disconnection</w:t>
      </w:r>
      <w:r>
        <w:t xml:space="preserve"> </w:t>
      </w:r>
      <w:r>
        <w:t xml:space="preserve">(</w:t>
      </w:r>
      <m:oMath>
        <m:r>
          <m:t>d</m:t>
        </m:r>
        <m:r>
          <m:rPr>
            <m:sty m:val="p"/>
          </m:rPr>
          <m:t>=</m:t>
        </m:r>
        <m:r>
          <m:t>0.99</m:t>
        </m:r>
      </m:oMath>
      <w:r>
        <w:t xml:space="preserve">) remained the dominant driver of fragility.</w:t>
      </w:r>
    </w:p>
    <w:p>
      <w:pPr>
        <w:pStyle w:val="BodyText"/>
      </w:pPr>
      <w:r>
        <w:rPr>
          <w:b/>
          <w:bCs/>
        </w:rPr>
        <w:t xml:space="preserve">The</w:t>
      </w:r>
      <w:r>
        <w:rPr>
          <w:b/>
          <w:bCs/>
        </w:rPr>
        <w:t xml:space="preserve"> </w:t>
      </w:r>
      <w:r>
        <w:rPr>
          <w:b/>
          <w:bCs/>
        </w:rPr>
        <w:t xml:space="preserve">“Canary in the Coal Mine”</w:t>
      </w:r>
      <w:r>
        <w:rPr>
          <w:b/>
          <w:bCs/>
        </w:rPr>
        <w:t xml:space="preserve">:</w:t>
      </w:r>
      <w:r>
        <w:t xml:space="preserve"> </w:t>
      </w:r>
      <w:r>
        <w:t xml:space="preserve">This apparent contradiction suggests a</w:t>
      </w:r>
      <w:r>
        <w:t xml:space="preserve"> </w:t>
      </w:r>
      <w:r>
        <w:rPr>
          <w:b/>
          <w:bCs/>
        </w:rPr>
        <w:t xml:space="preserve">Temporal Hierarchy of Diabetic Bone Disease</w:t>
      </w:r>
      <w:r>
        <w:t xml:space="preserve">:</w:t>
      </w:r>
      <w:r>
        <w:t xml:space="preserve"> </w:t>
      </w:r>
      <w:r>
        <w:t xml:space="preserve">1.</w:t>
      </w:r>
      <w:r>
        <w:t xml:space="preserve"> </w:t>
      </w:r>
      <w:r>
        <w:rPr>
          <w:b/>
          <w:bCs/>
        </w:rPr>
        <w:t xml:space="preserve">Phase 1 (Early/Osteopenic):</w:t>
      </w:r>
      <w:r>
        <w:t xml:space="preserve"> </w:t>
      </w:r>
      <w:r>
        <w:t xml:space="preserve">Metabolic dysfunction and AGE accumulation initially compromise the trabecular scaffold, accelerating age-related disconnection. This is consistent with findings by Haraguchi et al.</w:t>
      </w:r>
      <w:r>
        <w:rPr>
          <w:vertAlign w:val="superscript"/>
        </w:rPr>
        <w:t xml:space="preserve">13</w:t>
      </w:r>
      <w:r>
        <w:t xml:space="preserve">, who noted deterioration in bone quality independent of BMD</w:t>
      </w:r>
      <w:r>
        <w:rPr>
          <w:vertAlign w:val="superscript"/>
        </w:rPr>
        <w:t xml:space="preserve">13</w:t>
      </w:r>
      <w:r>
        <w:t xml:space="preserve">.</w:t>
      </w:r>
      <w:r>
        <w:t xml:space="preserve"> </w:t>
      </w:r>
      <w:r>
        <w:t xml:space="preserve">2.</w:t>
      </w:r>
      <w:r>
        <w:t xml:space="preserve"> </w:t>
      </w:r>
      <w:r>
        <w:rPr>
          <w:b/>
          <w:bCs/>
        </w:rPr>
        <w:t xml:space="preserve">Phase 2 (Late/Osteoporotic):</w:t>
      </w:r>
      <w:r>
        <w:t xml:space="preserve"> </w:t>
      </w:r>
      <w:r>
        <w:t xml:space="preserve">As the disease progresses, cortical vascularity increases and pore expansion occurs, leading to the</w:t>
      </w:r>
      <w:r>
        <w:t xml:space="preserve"> </w:t>
      </w:r>
      <w:r>
        <w:t xml:space="preserve">“Swiss-Cheese”</w:t>
      </w:r>
      <w:r>
        <w:t xml:space="preserve"> </w:t>
      </w:r>
      <w:r>
        <w:t xml:space="preserve">cortex seen in more advanced cohorts</w:t>
      </w:r>
      <w:r>
        <w:rPr>
          <w:vertAlign w:val="superscript"/>
        </w:rPr>
        <w:t xml:space="preserve">14</w:t>
      </w:r>
      <w:r>
        <w:t xml:space="preserve">.</w:t>
      </w:r>
      <w:r>
        <w:rPr>
          <w:vertAlign w:val="superscript"/>
        </w:rPr>
        <w:t xml:space="preserve">10,14</w:t>
      </w:r>
      <w:r>
        <w:t xml:space="preserve">.</w:t>
      </w:r>
    </w:p>
    <w:p>
      <w:pPr>
        <w:pStyle w:val="BodyText"/>
      </w:pPr>
      <w:r>
        <w:t xml:space="preserve">This distinction is clinically vital. It implies that for osteopenic diabetics, clinicians should not wait for cortical defects to appear. Instead, early intervention must focus on preserving the trabecular microarchitecture before it disconnects irreversibly. Our data supports the notion that</w:t>
      </w:r>
      <w:r>
        <w:t xml:space="preserve"> </w:t>
      </w:r>
      <m:oMath>
        <m:r>
          <m:t>T</m:t>
        </m:r>
        <m:r>
          <m:t>b</m:t>
        </m:r>
        <m:r>
          <m:rPr>
            <m:sty m:val="p"/>
          </m:rPr>
          <m:t>.</m:t>
        </m:r>
        <m:r>
          <m:t>N</m:t>
        </m:r>
      </m:oMath>
      <w:r>
        <w:t xml:space="preserve"> </w:t>
      </w:r>
      <w:r>
        <w:t xml:space="preserve">acts as the</w:t>
      </w:r>
      <w:r>
        <w:t xml:space="preserve"> </w:t>
      </w:r>
      <w:r>
        <w:t xml:space="preserve">“canary in the coal mine”</w:t>
      </w:r>
      <w:r>
        <w:t xml:space="preserve"> </w:t>
      </w:r>
      <w:r>
        <w:t xml:space="preserve">for early diabetic fragility.</w:t>
      </w:r>
    </w:p>
    <w:bookmarkEnd w:id="53"/>
    <w:bookmarkStart w:id="54" w:name="strengths-and-limitations"/>
    <w:p>
      <w:pPr>
        <w:pStyle w:val="Heading2"/>
      </w:pPr>
      <w:r>
        <w:t xml:space="preserve">6.4 Strengths and Limitations</w:t>
      </w:r>
    </w:p>
    <w:p>
      <w:pPr>
        <w:pStyle w:val="FirstParagraph"/>
      </w:pPr>
      <w:r>
        <w:t xml:space="preserve">The strengths of this study include the strict</w:t>
      </w:r>
      <w:r>
        <w:t xml:space="preserve"> </w:t>
      </w:r>
      <w:r>
        <w:t xml:space="preserve">“Entry Ticket”</w:t>
      </w:r>
      <w:r>
        <w:t xml:space="preserve"> </w:t>
      </w:r>
      <w:r>
        <w:t xml:space="preserve">criteria ensuring high-quality HR-pQCT data and the rigorous hierarchical analysis validated in a large cohort (</w:t>
      </w:r>
      <m:oMath>
        <m:r>
          <m:t>N</m:t>
        </m:r>
        <m:r>
          <m:rPr>
            <m:sty m:val="p"/>
          </m:rPr>
          <m:t>=</m:t>
        </m:r>
        <m:r>
          <m:t>215</m:t>
        </m:r>
      </m:oMath>
      <w:r>
        <w:t xml:space="preserve">). The use of</w:t>
      </w:r>
      <w:r>
        <w:t xml:space="preserve"> </w:t>
      </w:r>
      <m:oMath>
        <m:r>
          <m:t>μ</m:t>
        </m:r>
      </m:oMath>
      <w:r>
        <w:t xml:space="preserve">FEA provides a functional assessment of bone strength beyond simple morphology.</w:t>
      </w:r>
    </w:p>
    <w:p>
      <w:pPr>
        <w:pStyle w:val="BodyText"/>
      </w:pPr>
      <w:r>
        <w:t xml:space="preserve">Limitations include the cross-sectional design, which prevents establishing causality. Additionally, our T2DM cohort was relatively well-controlled (mean HbA1c 7.2%), which may explain the lack of severe cortical porosity compared to studies with more uncontrolled diabetic populations. Future longitudinal studies are needed to track the progression from trabecular to cortical failure.</w:t>
      </w:r>
    </w:p>
    <w:bookmarkEnd w:id="54"/>
    <w:bookmarkStart w:id="55" w:name="conclusion"/>
    <w:p>
      <w:pPr>
        <w:pStyle w:val="Heading2"/>
      </w:pPr>
      <w:r>
        <w:t xml:space="preserve">6.5 Conclusion</w:t>
      </w:r>
    </w:p>
    <w:p>
      <w:pPr>
        <w:pStyle w:val="FirstParagraph"/>
      </w:pPr>
      <w:r>
        <w:t xml:space="preserve">Skeletal fragility in the osteopenic grey zone is driven by</w:t>
      </w:r>
      <w:r>
        <w:t xml:space="preserve"> </w:t>
      </w:r>
      <w:r>
        <w:rPr>
          <w:b/>
          <w:bCs/>
        </w:rPr>
        <w:t xml:space="preserve">Trabecular Disconnection</w:t>
      </w:r>
      <w:r>
        <w:t xml:space="preserve">, a structural failure invisible to DXA. In early-stage (osteopenic) diabetes, this trabecular failure remains the primary culprit, challenging the notion of an immediate</w:t>
      </w:r>
      <w:r>
        <w:t xml:space="preserve"> </w:t>
      </w:r>
      <w:r>
        <w:t xml:space="preserve">“cortical switch.”</w:t>
      </w:r>
      <w:r>
        <w:t xml:space="preserve"> </w:t>
      </w:r>
      <w:r>
        <w:t xml:space="preserve">These findings advocate for the integration of HR-pQCT as a stratification tool to identify patients at imminent risk who fall below traditional treatment thresholds.</w:t>
      </w:r>
    </w:p>
    <w:bookmarkEnd w:id="55"/>
    <w:bookmarkEnd w:id="56"/>
    <w:bookmarkStart w:id="72" w:name="references"/>
    <w:p>
      <w:pPr>
        <w:pStyle w:val="Heading1"/>
      </w:pPr>
      <w:r>
        <w:t xml:space="preserve">7. References</w:t>
      </w:r>
    </w:p>
    <w:bookmarkStart w:id="71" w:name="refs"/>
    <w:bookmarkStart w:id="57" w:name="ref-eBoneMicroarchitectureAssessed2017"/>
    <w:p>
      <w:pPr>
        <w:pStyle w:val="Bibliography"/>
      </w:pPr>
      <w:r>
        <w:t xml:space="preserve">1.</w:t>
      </w:r>
      <w:r>
        <w:t xml:space="preserve"> </w:t>
      </w:r>
      <w:r>
        <w:t xml:space="preserve">	</w:t>
      </w:r>
      <w:r>
        <w:t xml:space="preserve">E. Sornay-Rendu, S. Boutroy, F. Duboeuf, R. D. Chapurlat. Bone microarchitecture assessed by HR-pQCT as predictor of fracture risk in postmenopausal women: The OFELY study.</w:t>
      </w:r>
      <w:r>
        <w:t xml:space="preserve"> </w:t>
      </w:r>
      <w:r>
        <w:rPr>
          <w:i/>
          <w:iCs/>
        </w:rPr>
        <w:t xml:space="preserve">J Bone Miner Res</w:t>
      </w:r>
      <w:r>
        <w:t xml:space="preserve">. 2017;32(6):1243-1251.</w:t>
      </w:r>
    </w:p>
    <w:bookmarkEnd w:id="57"/>
    <w:bookmarkStart w:id="58" w:name="ref-t.zhuValueMeasuringBone2016"/>
    <w:p>
      <w:pPr>
        <w:pStyle w:val="Bibliography"/>
      </w:pPr>
      <w:r>
        <w:t xml:space="preserve">2.</w:t>
      </w:r>
      <w:r>
        <w:t xml:space="preserve"> </w:t>
      </w:r>
      <w:r>
        <w:t xml:space="preserve">	</w:t>
      </w:r>
      <w:r>
        <w:t xml:space="preserve">T. Y. Zhu, V. W. Hung, W. H. Cheung, others. Value of measuring bone microarchitecture in fracture discrimination in older women with recent hip fracture: A case-control study with HR-pQCT.</w:t>
      </w:r>
      <w:r>
        <w:t xml:space="preserve"> </w:t>
      </w:r>
      <w:r>
        <w:rPr>
          <w:i/>
          <w:iCs/>
        </w:rPr>
        <w:t xml:space="preserve">Osteoporos Int</w:t>
      </w:r>
      <w:r>
        <w:t xml:space="preserve">. 2016;27(1):61-68.</w:t>
      </w:r>
    </w:p>
    <w:bookmarkEnd w:id="58"/>
    <w:bookmarkStart w:id="59" w:name="Xd137ff3cfcdd2085837731be1ac62f162b9d7c2"/>
    <w:p>
      <w:pPr>
        <w:pStyle w:val="Bibliography"/>
      </w:pPr>
      <w:r>
        <w:t xml:space="preserve">3.</w:t>
      </w:r>
      <w:r>
        <w:t xml:space="preserve"> </w:t>
      </w:r>
      <w:r>
        <w:t xml:space="preserve">	</w:t>
      </w:r>
      <w:r>
        <w:t xml:space="preserve">A. R. Bugbird, R. Jaiswal, D. E. Whittier. External validation of a novel HR-pQCT fracture risk assessment tool (</w:t>
      </w:r>
      <m:oMath>
        <m:r>
          <m:t>μ</m:t>
        </m:r>
      </m:oMath>
      <w:r>
        <w:t xml:space="preserve">FRAC) in a female cohort: Sahlgrenska university hospital prospective evaluation of risk of bone fractures (SUPERB) study.</w:t>
      </w:r>
      <w:r>
        <w:t xml:space="preserve"> </w:t>
      </w:r>
      <w:r>
        <w:rPr>
          <w:i/>
          <w:iCs/>
        </w:rPr>
        <w:t xml:space="preserve">J Bone Miner Res</w:t>
      </w:r>
      <w:r>
        <w:t xml:space="preserve">. Published online 2025.</w:t>
      </w:r>
    </w:p>
    <w:bookmarkEnd w:id="59"/>
    <w:bookmarkStart w:id="60" w:name="ref-maAssessmentFractureRisk2019"/>
    <w:p>
      <w:pPr>
        <w:pStyle w:val="Bibliography"/>
      </w:pPr>
      <w:r>
        <w:t xml:space="preserve">4.</w:t>
      </w:r>
      <w:r>
        <w:t xml:space="preserve"> </w:t>
      </w:r>
      <w:r>
        <w:t xml:space="preserve">	</w:t>
      </w:r>
      <w:r>
        <w:t xml:space="preserve">J. Ma. Assessment of fracture risk in patients with type 2 diabetes mellitus.</w:t>
      </w:r>
      <w:r>
        <w:t xml:space="preserve"> </w:t>
      </w:r>
      <w:r>
        <w:rPr>
          <w:i/>
          <w:iCs/>
        </w:rPr>
        <w:t xml:space="preserve">Osteoporos Sarcopenia</w:t>
      </w:r>
      <w:r>
        <w:t xml:space="preserve">. 2019;5(1):13-17.</w:t>
      </w:r>
    </w:p>
    <w:bookmarkEnd w:id="60"/>
    <w:bookmarkStart w:id="61" w:name="ref-aimeed.shuBoneStructureTurnover2012"/>
    <w:p>
      <w:pPr>
        <w:pStyle w:val="Bibliography"/>
      </w:pPr>
      <w:r>
        <w:t xml:space="preserve">5.</w:t>
      </w:r>
      <w:r>
        <w:t xml:space="preserve"> </w:t>
      </w:r>
      <w:r>
        <w:t xml:space="preserve">	</w:t>
      </w:r>
      <w:r>
        <w:t xml:space="preserve">A. Shu, M. T. Yin, E. Stein, others. Bone structure and turnover in type 2 diabetes mellitus.</w:t>
      </w:r>
      <w:r>
        <w:t xml:space="preserve"> </w:t>
      </w:r>
      <w:r>
        <w:rPr>
          <w:i/>
          <w:iCs/>
        </w:rPr>
        <w:t xml:space="preserve">Osteoporos Int</w:t>
      </w:r>
      <w:r>
        <w:t xml:space="preserve">. 2012;23(2):635-641.</w:t>
      </w:r>
    </w:p>
    <w:bookmarkEnd w:id="61"/>
    <w:bookmarkStart w:id="62" w:name="ref-meilinghuangPerformanceHRpQCTDXA2021"/>
    <w:p>
      <w:pPr>
        <w:pStyle w:val="Bibliography"/>
      </w:pPr>
      <w:r>
        <w:t xml:space="preserve">6.</w:t>
      </w:r>
      <w:r>
        <w:t xml:space="preserve"> </w:t>
      </w:r>
      <w:r>
        <w:t xml:space="preserve">	</w:t>
      </w:r>
      <w:r>
        <w:t xml:space="preserve">M. Huang, V. W. Hung, T. Li, others. Performance of HR-pQCT, DXA, and FRAX in the discrimination of asymptomatic vertebral fracture in postmenopausal chinese women.</w:t>
      </w:r>
      <w:r>
        <w:t xml:space="preserve"> </w:t>
      </w:r>
      <w:r>
        <w:rPr>
          <w:i/>
          <w:iCs/>
        </w:rPr>
        <w:t xml:space="preserve">J Clin Densitom</w:t>
      </w:r>
      <w:r>
        <w:t xml:space="preserve">. 2021;24(3):372-380.</w:t>
      </w:r>
    </w:p>
    <w:bookmarkEnd w:id="62"/>
    <w:bookmarkStart w:id="63" w:name="X8205a37554dd812392747a86d6760c153b86556"/>
    <w:p>
      <w:pPr>
        <w:pStyle w:val="Bibliography"/>
      </w:pPr>
      <w:r>
        <w:t xml:space="preserve">7.</w:t>
      </w:r>
      <w:r>
        <w:t xml:space="preserve"> </w:t>
      </w:r>
      <w:r>
        <w:t xml:space="preserve">	</w:t>
      </w:r>
      <w:r>
        <w:t xml:space="preserve">J. F. Starr, L. Bandeira, S. Agarwal, others. Robust trabecular microstructure in type 2 diabetes revealed by individual trabecula segmentation analysis of HR-pQCT images.</w:t>
      </w:r>
      <w:r>
        <w:t xml:space="preserve"> </w:t>
      </w:r>
      <w:r>
        <w:rPr>
          <w:i/>
          <w:iCs/>
        </w:rPr>
        <w:t xml:space="preserve">J Bone Miner Res</w:t>
      </w:r>
      <w:r>
        <w:t xml:space="preserve">. 2018;33(1):63-70.</w:t>
      </w:r>
    </w:p>
    <w:bookmarkEnd w:id="63"/>
    <w:bookmarkStart w:id="64" w:name="X534f6c562165754c1f7c9ff68001d4b38855ef4"/>
    <w:p>
      <w:pPr>
        <w:pStyle w:val="Bibliography"/>
      </w:pPr>
      <w:r>
        <w:t xml:space="preserve">8.</w:t>
      </w:r>
      <w:r>
        <w:t xml:space="preserve"> </w:t>
      </w:r>
      <w:r>
        <w:t xml:space="preserve">	</w:t>
      </w:r>
      <w:r>
        <w:t xml:space="preserve">J. I. Martínez-Montoro, B. García-Fontana, C. García-Fontana, M. Muñoz-Torres. Evaluation of quality and bone microstructure alterations in patients with type 2 diabetes: A narrative review.</w:t>
      </w:r>
      <w:r>
        <w:t xml:space="preserve"> </w:t>
      </w:r>
      <w:r>
        <w:rPr>
          <w:i/>
          <w:iCs/>
        </w:rPr>
        <w:t xml:space="preserve">J Clin Med</w:t>
      </w:r>
      <w:r>
        <w:t xml:space="preserve">. 2022;11(17):5134.</w:t>
      </w:r>
    </w:p>
    <w:bookmarkEnd w:id="64"/>
    <w:bookmarkStart w:id="65" w:name="ref-s.ferrariBoneMicrostructureTBS2025"/>
    <w:p>
      <w:pPr>
        <w:pStyle w:val="Bibliography"/>
      </w:pPr>
      <w:r>
        <w:t xml:space="preserve">9.</w:t>
      </w:r>
      <w:r>
        <w:t xml:space="preserve"> </w:t>
      </w:r>
      <w:r>
        <w:t xml:space="preserve">	</w:t>
      </w:r>
      <w:r>
        <w:t xml:space="preserve">S. Ferrari, K. Akesson, N. Al-Daghri. Bone microstructure and TBS in diabetes: What have we learned? A narrative review.</w:t>
      </w:r>
      <w:r>
        <w:t xml:space="preserve"> </w:t>
      </w:r>
      <w:r>
        <w:rPr>
          <w:i/>
          <w:iCs/>
        </w:rPr>
        <w:t xml:space="preserve">J Bone Miner Res</w:t>
      </w:r>
      <w:r>
        <w:t xml:space="preserve">. Published online 2025.</w:t>
      </w:r>
    </w:p>
    <w:bookmarkEnd w:id="65"/>
    <w:bookmarkStart w:id="66" w:name="X5745b386470b0e8da4f9d309e9481efd5be9191"/>
    <w:p>
      <w:pPr>
        <w:pStyle w:val="Bibliography"/>
      </w:pPr>
      <w:r>
        <w:t xml:space="preserve">10.</w:t>
      </w:r>
      <w:r>
        <w:t xml:space="preserve"> </w:t>
      </w:r>
      <w:r>
        <w:t xml:space="preserve">	</w:t>
      </w:r>
      <w:r>
        <w:t xml:space="preserve">J. M. Patsch, A. J. Burghardt, S. P. Yap, T. Baum, A. V. Schwartz, G. B. Joseph, others. Increased cortical porosity in type 2 diabetic postmenopausal women with fragility fractures.</w:t>
      </w:r>
      <w:r>
        <w:t xml:space="preserve"> </w:t>
      </w:r>
      <w:r>
        <w:rPr>
          <w:i/>
          <w:iCs/>
        </w:rPr>
        <w:t xml:space="preserve">J Bone Miner Res</w:t>
      </w:r>
      <w:r>
        <w:t xml:space="preserve">. 2013;28(2):313-324.</w:t>
      </w:r>
    </w:p>
    <w:bookmarkEnd w:id="66"/>
    <w:bookmarkStart w:id="67" w:name="Xb6a313c5421c57425fb007513b6e5b21e1730e8"/>
    <w:p>
      <w:pPr>
        <w:pStyle w:val="Bibliography"/>
      </w:pPr>
      <w:r>
        <w:t xml:space="preserve">11.</w:t>
      </w:r>
      <w:r>
        <w:t xml:space="preserve"> </w:t>
      </w:r>
      <w:r>
        <w:t xml:space="preserve">	</w:t>
      </w:r>
      <w:r>
        <w:t xml:space="preserve">E. J. Samelson, S. Demissie, L. A. Cupples, others. Diabetes and deficits in cortical bone density, microarchitecture, and bone size: Framingham HR-pQCT study.</w:t>
      </w:r>
      <w:r>
        <w:t xml:space="preserve"> </w:t>
      </w:r>
      <w:r>
        <w:rPr>
          <w:i/>
          <w:iCs/>
        </w:rPr>
        <w:t xml:space="preserve">J Bone Miner Res</w:t>
      </w:r>
      <w:r>
        <w:t xml:space="preserve">. 2018;33(1):54-62.</w:t>
      </w:r>
    </w:p>
    <w:bookmarkEnd w:id="67"/>
    <w:bookmarkStart w:id="68" w:name="X1d86d3180f8eba455d8989258c1a5cc35e3e57f"/>
    <w:p>
      <w:pPr>
        <w:pStyle w:val="Bibliography"/>
      </w:pPr>
      <w:r>
        <w:t xml:space="preserve">12.</w:t>
      </w:r>
      <w:r>
        <w:t xml:space="preserve"> </w:t>
      </w:r>
      <w:r>
        <w:t xml:space="preserve">	</w:t>
      </w:r>
      <w:r>
        <w:t xml:space="preserve">V. V. Shanbhogue, S. Hansen, M. Frost, others. Compromised cortical bone compartment in type 2 diabetes mellitus patients with microvascular disease.</w:t>
      </w:r>
      <w:r>
        <w:t xml:space="preserve"> </w:t>
      </w:r>
      <w:r>
        <w:rPr>
          <w:i/>
          <w:iCs/>
        </w:rPr>
        <w:t xml:space="preserve">Calcif Tissue Int</w:t>
      </w:r>
      <w:r>
        <w:t xml:space="preserve">. 2016;98(1):24-31.</w:t>
      </w:r>
    </w:p>
    <w:bookmarkEnd w:id="68"/>
    <w:bookmarkStart w:id="69" w:name="X32466bdffd813c9a14bcef3783784f8cf26c4d2"/>
    <w:p>
      <w:pPr>
        <w:pStyle w:val="Bibliography"/>
      </w:pPr>
      <w:r>
        <w:t xml:space="preserve">13.</w:t>
      </w:r>
      <w:r>
        <w:t xml:space="preserve"> </w:t>
      </w:r>
      <w:r>
        <w:t xml:space="preserve">	</w:t>
      </w:r>
      <w:r>
        <w:t xml:space="preserve">A. Haraguchi, R. Shigeno, I. Horie. The effect of luseogliflozin on bone microarchitecture in older patients with type 2 diabetes: Study protocol for a randomized controlled pilot trial using second-generation, high-resolution, peripheral quantitative computed tomography (HR-pQCT).</w:t>
      </w:r>
      <w:r>
        <w:t xml:space="preserve"> </w:t>
      </w:r>
      <w:r>
        <w:rPr>
          <w:i/>
          <w:iCs/>
        </w:rPr>
        <w:t xml:space="preserve">Trials</w:t>
      </w:r>
      <w:r>
        <w:t xml:space="preserve">. 2019;20(1):654.</w:t>
      </w:r>
    </w:p>
    <w:bookmarkEnd w:id="69"/>
    <w:bookmarkStart w:id="70" w:name="Xe123aff839fa063f022b6d3d7df52e4337dfd10"/>
    <w:p>
      <w:pPr>
        <w:pStyle w:val="Bibliography"/>
      </w:pPr>
      <w:r>
        <w:t xml:space="preserve">14.</w:t>
      </w:r>
      <w:r>
        <w:t xml:space="preserve"> </w:t>
      </w:r>
      <w:r>
        <w:t xml:space="preserve">	</w:t>
      </w:r>
      <w:r>
        <w:t xml:space="preserve">E. W. Yu, M. S. Putman, N. Derrico, others. Defects in cortical microarchitecture among african-american women with type 2 diabetes.</w:t>
      </w:r>
      <w:r>
        <w:t xml:space="preserve"> </w:t>
      </w:r>
      <w:r>
        <w:rPr>
          <w:i/>
          <w:iCs/>
        </w:rPr>
        <w:t xml:space="preserve">Osteoporos Int</w:t>
      </w:r>
      <w:r>
        <w:t xml:space="preserve">. 2015;26(2):673-679.</w:t>
      </w:r>
    </w:p>
    <w:bookmarkEnd w:id="70"/>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Trabecular Disconnection and Biomechanical Weakness Drive Fragility in Osteopenic Postmenopausal Women: An HR-pQCT and \muFEA Study</dc:title>
  <dc:creator>Ajay Shukla, MD, DM; Sushil Gupta, MD, DM</dc:creator>
  <cp:keywords>HR-pQCT, Osteopenia, Type 2 Diabetes, Microarchitecture, Finite Element Analysis</cp:keywords>
  <dcterms:created xsi:type="dcterms:W3CDTF">2026-02-17T03:20:45Z</dcterms:created>
  <dcterms:modified xsi:type="dcterms:W3CDTF">2026-02-17T03:20:45Z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HRPQCT_BMD.bib</vt:lpwstr>
  </property>
  <property fmtid="{D5CDD505-2E9C-101B-9397-08002B2CF9AE}" pid="6" name="by-affiliation">
    <vt:lpwstr/>
  </property>
  <property fmtid="{D5CDD505-2E9C-101B-9397-08002B2CF9AE}" pid="7" name="by-author">
    <vt:lpwstr/>
  </property>
  <property fmtid="{D5CDD505-2E9C-101B-9397-08002B2CF9AE}" pid="8" name="csl">
    <vt:lpwstr>https://raw.githubusercontent.com/citation-style-language/styles/master/american-medical-association.csl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