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Trabecular Disconnection and Biomechanical Weakness Drive Fragility in Osteopenic Postmenopausal Women: An HR-pQCT and</w:t>
      </w:r>
      <w:r>
        <w:t xml:space="preserve"> </w:t>
      </w:r>
      <m:oMath>
        <m:r>
          <m:t>μ</m:t>
        </m:r>
      </m:oMath>
      <w:r>
        <w:t xml:space="preserve">FEA Study</w:t>
      </w:r>
    </w:p>
    <w:p>
      <w:pPr>
        <w:pStyle w:val="Author"/>
      </w:pPr>
      <w:r>
        <w:t xml:space="preserve">Ajay Shukla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1. Abstract</w:t>
      </w:r>
    </w:p>
    <w:bookmarkEnd w:id="20"/>
    <w:bookmarkStart w:id="21" w:name="abstract-1"/>
    <w:p>
      <w:pPr>
        <w:pStyle w:val="Heading1"/>
      </w:pPr>
      <w:r>
        <w:t xml:space="preserve">2. Abstract</w:t>
      </w:r>
    </w:p>
    <w:p>
      <w:pPr>
        <w:pStyle w:val="FirstParagraph"/>
      </w:pPr>
      <w:r>
        <w:rPr>
          <w:b/>
          <w:bCs/>
        </w:rPr>
        <w:t xml:space="preserve">Background:</w:t>
      </w:r>
      <w:r>
        <w:t xml:space="preserve"> </w:t>
      </w:r>
      <w:r>
        <w:t xml:space="preserve">Skeletal management is currently limited by the</w:t>
      </w:r>
      <w:r>
        <w:t xml:space="preserve"> </w:t>
      </w:r>
      <w:r>
        <w:t xml:space="preserve">“prevention paradox,”</w:t>
      </w:r>
      <w:r>
        <w:t xml:space="preserve"> </w:t>
      </w:r>
      <w:r>
        <w:t xml:space="preserve">wherein the majority of fragility fractures occur in postmenopausal women with</w:t>
      </w:r>
      <w:r>
        <w:t xml:space="preserve"> </w:t>
      </w:r>
      <m:oMath>
        <m:r>
          <m:t>T</m:t>
        </m:r>
      </m:oMath>
      <w:r>
        <w:t xml:space="preserve">-scores in the osteopenic range (</w:t>
      </w:r>
      <m:oMath>
        <m:r>
          <m:rPr>
            <m:sty m:val="p"/>
          </m:rPr>
          <m:t>−</m:t>
        </m:r>
        <m:r>
          <m:t>2.5</m:t>
        </m:r>
        <m:r>
          <m:rPr>
            <m:sty m:val="p"/>
          </m:rPr>
          <m:t>&lt;</m:t>
        </m:r>
        <m:r>
          <m:t>T</m:t>
        </m:r>
        <m:r>
          <m:rPr>
            <m:sty m:val="p"/>
          </m:rPr>
          <m:t>&lt;</m:t>
        </m:r>
        <m:r>
          <m:rPr>
            <m:sty m:val="p"/>
          </m:rPr>
          <m:t>−</m:t>
        </m:r>
        <m:r>
          <m:t>1.0</m:t>
        </m:r>
      </m:oMath>
      <w:r>
        <w:t xml:space="preserve">). Standard assessment via dual-energy X-ray absorptiometry (DXA) lacks the spatial resolution to capture the three-dimensional microarchitectural determinants of bone strength. This study utilized High-Resolution Peripheral Quantitative Computed Tomography (HR-pQCT) and micro-Finite Element Analysis (</w:t>
      </w:r>
      <m:oMath>
        <m:r>
          <m:t>μ</m:t>
        </m:r>
      </m:oMath>
      <w:r>
        <w:t xml:space="preserve">FEA) to identify the structural and biomechanical drivers of fragility within this diagnostic</w:t>
      </w:r>
      <w:r>
        <w:t xml:space="preserve"> </w:t>
      </w:r>
      <w:r>
        <w:t xml:space="preserve">“grey zone.”</w:t>
      </w:r>
    </w:p>
    <w:p>
      <w:pPr>
        <w:pStyle w:val="BodyText"/>
      </w:pPr>
      <w:r>
        <w:rPr>
          <w:b/>
          <w:bCs/>
        </w:rPr>
        <w:t xml:space="preserve">Methods:</w:t>
      </w:r>
      <w:r>
        <w:t xml:space="preserve"> </w:t>
      </w:r>
      <w:r>
        <w:t xml:space="preserve">In this cross-sectional study, 215 postmenopausal women (Total Cohort:</w:t>
      </w:r>
      <w:r>
        <w:t xml:space="preserve"> </w:t>
      </w:r>
      <m:oMath>
        <m:r>
          <m:t>N</m:t>
        </m:r>
        <m:r>
          <m:rPr>
            <m:sty m:val="p"/>
          </m:rPr>
          <m:t>=</m:t>
        </m:r>
        <m:r>
          <m:t>215</m:t>
        </m:r>
      </m:oMath>
      <w:r>
        <w:t xml:space="preserve">; 118 fractures, 97 controls) underwent skeletal assessment via DXA, Trabecular Bone Score (TBS), and HR-pQCT of the distal radius and tibia. The primary analysis focused on the</w:t>
      </w:r>
      <w:r>
        <w:t xml:space="preserve"> </w:t>
      </w:r>
      <w:r>
        <w:t xml:space="preserve">“Grey Zone”</w:t>
      </w:r>
      <w:r>
        <w:t xml:space="preserve"> </w:t>
      </w:r>
      <w:r>
        <w:t xml:space="preserve">sub-cohort (</w:t>
      </w:r>
      <m:oMath>
        <m:r>
          <m:t>n</m:t>
        </m:r>
        <m:r>
          <m:rPr>
            <m:sty m:val="p"/>
          </m:rPr>
          <m:t>=</m:t>
        </m:r>
        <m:r>
          <m:t>91</m:t>
        </m:r>
      </m:oMath>
      <w:r>
        <w:t xml:space="preserve">) consisting of women with osteopenia (47 fractures, 44 controls). To maximize power and adhere to clinical reality, an</w:t>
      </w:r>
      <w:r>
        <w:t xml:space="preserve"> </w:t>
      </w:r>
      <w:r>
        <w:t xml:space="preserve">“Entry Ticket”</w:t>
      </w:r>
      <w:r>
        <w:t xml:space="preserve"> </w:t>
      </w:r>
      <w:r>
        <w:t xml:space="preserve">strategy was used (valid scans at both sites required), and minor missing values were managed via standard mean imputation. Discriminative performance was assessed using Area Under the Curve (AUC) and Cohen’s</w:t>
      </w:r>
      <w:r>
        <w:t xml:space="preserve"> </w:t>
      </w:r>
      <m:oMath>
        <m:r>
          <m:t>d</m:t>
        </m:r>
      </m:oMath>
      <w:r>
        <w:t xml:space="preserve"> </w:t>
      </w:r>
      <w:r>
        <w:t xml:space="preserve">effect sizes.</w:t>
      </w:r>
    </w:p>
    <w:p>
      <w:pPr>
        <w:pStyle w:val="BodyText"/>
      </w:pPr>
      <w:r>
        <w:rPr>
          <w:b/>
          <w:bCs/>
        </w:rPr>
        <w:t xml:space="preserve">Results:</w:t>
      </w:r>
      <w:r>
        <w:t xml:space="preserve"> </w:t>
      </w:r>
      <w:r>
        <w:t xml:space="preserve">In the osteopenic sub-cohort (</w:t>
      </w:r>
      <m:oMath>
        <m:r>
          <m:t>n</m:t>
        </m:r>
        <m:r>
          <m:rPr>
            <m:sty m:val="p"/>
          </m:rPr>
          <m:t>=</m:t>
        </m:r>
        <m:r>
          <m:t>91</m:t>
        </m:r>
      </m:oMath>
      <w:r>
        <w:t xml:space="preserve">), areal BMD (</w:t>
      </w:r>
      <m:oMath>
        <m:r>
          <m:t>a</m:t>
        </m:r>
        <m:r>
          <m:t>B</m:t>
        </m:r>
        <m:r>
          <m:t>M</m:t>
        </m:r>
        <m:r>
          <m:t>D</m:t>
        </m:r>
      </m:oMath>
      <w:r>
        <w:t xml:space="preserve">) and the combined clinical model (DXA + FRAX + TBS) failed to significantly discriminate fracture status (</w:t>
      </w:r>
      <m:oMath>
        <m:r>
          <m:t>p</m:t>
        </m:r>
        <m:r>
          <m:rPr>
            <m:sty m:val="p"/>
          </m:rPr>
          <m:t>&gt;</m:t>
        </m:r>
        <m:r>
          <m:t>0.05</m:t>
        </m:r>
      </m:oMath>
      <w:r>
        <w:t xml:space="preserve">; AUC = 0.60). In contrast, HR-pQCT identified a profound</w:t>
      </w:r>
      <w:r>
        <w:t xml:space="preserve"> </w:t>
      </w:r>
      <w:r>
        <w:t xml:space="preserve">“quality”</w:t>
      </w:r>
      <w:r>
        <w:t xml:space="preserve"> </w:t>
      </w:r>
      <w:r>
        <w:t xml:space="preserve">defect. Fractured osteopenic women exhibited a characteristic triad of densitometric loss (Total</w:t>
      </w:r>
      <w:r>
        <w:t xml:space="preserve"> </w:t>
      </w:r>
      <m:oMath>
        <m:r>
          <m:t>v</m:t>
        </m:r>
        <m:r>
          <m:t>B</m:t>
        </m:r>
        <m:r>
          <m:t>M</m:t>
        </m:r>
        <m:r>
          <m:t>D</m:t>
        </m:r>
      </m:oMath>
      <w:r>
        <w:t xml:space="preserve">:</w:t>
      </w:r>
      <w:r>
        <w:t xml:space="preserve"> </w:t>
      </w:r>
      <m:oMath>
        <m:r>
          <m:rPr>
            <m:sty m:val="p"/>
          </m:rPr>
          <m:t>−</m:t>
        </m:r>
        <m:r>
          <m:t>13.4</m:t>
        </m:r>
        <m:r>
          <m:rPr>
            <m:sty m:val="p"/>
          </m:rPr>
          <m:t>%</m:t>
        </m:r>
      </m:oMath>
      <w:r>
        <w:t xml:space="preserve">,</w:t>
      </w:r>
      <w:r>
        <w:t xml:space="preserve"> </w:t>
      </w:r>
      <m:oMath>
        <m:r>
          <m:t>d</m:t>
        </m:r>
        <m:r>
          <m:rPr>
            <m:sty m:val="p"/>
          </m:rPr>
          <m:t>=</m:t>
        </m:r>
        <m:r>
          <m:t>0.72</m:t>
        </m:r>
      </m:oMath>
      <w:r>
        <w:t xml:space="preserve">,</w:t>
      </w:r>
      <w:r>
        <w:t xml:space="preserve"> </w:t>
      </w:r>
      <m:oMath>
        <m:r>
          <m:t>p</m:t>
        </m:r>
        <m:r>
          <m:rPr>
            <m:sty m:val="p"/>
          </m:rPr>
          <m:t>&lt;</m:t>
        </m:r>
        <m:r>
          <m:t>0.001</m:t>
        </m:r>
      </m:oMath>
      <w:r>
        <w:t xml:space="preserve">), microstructural decay (Trabecular Number [</w:t>
      </w:r>
      <m:oMath>
        <m:r>
          <m:t>T</m:t>
        </m:r>
        <m:r>
          <m:t>b</m:t>
        </m:r>
        <m:r>
          <m:rPr>
            <m:sty m:val="p"/>
          </m:rPr>
          <m:t>.</m:t>
        </m:r>
        <m:r>
          <m:t>N</m:t>
        </m:r>
      </m:oMath>
      <w:r>
        <w:t xml:space="preserve">]:</w:t>
      </w:r>
      <w:r>
        <w:t xml:space="preserve"> </w:t>
      </w:r>
      <m:oMath>
        <m:r>
          <m:rPr>
            <m:sty m:val="p"/>
          </m:rPr>
          <m:t>−</m:t>
        </m:r>
        <m:r>
          <m:t>11.6</m:t>
        </m:r>
        <m:r>
          <m:rPr>
            <m:sty m:val="p"/>
          </m:rPr>
          <m:t>%</m:t>
        </m:r>
      </m:oMath>
      <w:r>
        <w:t xml:space="preserve">,</w:t>
      </w:r>
      <w:r>
        <w:t xml:space="preserve"> </w:t>
      </w:r>
      <m:oMath>
        <m:r>
          <m:t>d</m:t>
        </m:r>
        <m:r>
          <m:rPr>
            <m:sty m:val="p"/>
          </m:rPr>
          <m:t>=</m:t>
        </m:r>
        <m:r>
          <m:t>0.83</m:t>
        </m:r>
      </m:oMath>
      <w:r>
        <w:t xml:space="preserve">,</w:t>
      </w:r>
      <w:r>
        <w:t xml:space="preserve"> </w:t>
      </w:r>
      <m:oMath>
        <m:r>
          <m:t>p</m:t>
        </m:r>
        <m:r>
          <m:rPr>
            <m:sty m:val="p"/>
          </m:rPr>
          <m:t>=</m:t>
        </m:r>
        <m:r>
          <m:t>0.001</m:t>
        </m:r>
      </m:oMath>
      <w:r>
        <w:t xml:space="preserve">), and biomechanical compromise (Failure Load [</w:t>
      </w:r>
      <m:oMath>
        <m:r>
          <m:t>F</m:t>
        </m:r>
        <m:r>
          <m:rPr>
            <m:sty m:val="p"/>
          </m:rPr>
          <m:t>.</m:t>
        </m:r>
        <m:r>
          <m:t>L</m:t>
        </m:r>
        <m:r>
          <m:t>o</m:t>
        </m:r>
        <m:r>
          <m:t>a</m:t>
        </m:r>
        <m:r>
          <m:t>d</m:t>
        </m:r>
      </m:oMath>
      <w:r>
        <w:t xml:space="preserve">]:</w:t>
      </w:r>
      <w:r>
        <w:t xml:space="preserve"> </w:t>
      </w:r>
      <m:oMath>
        <m:r>
          <m:rPr>
            <m:sty m:val="p"/>
          </m:rPr>
          <m:t>−</m:t>
        </m:r>
        <m:r>
          <m:t>14.3</m:t>
        </m:r>
        <m:r>
          <m:rPr>
            <m:sty m:val="p"/>
          </m:rPr>
          <m:t>%</m:t>
        </m:r>
      </m:oMath>
      <w:r>
        <w:t xml:space="preserve">,</w:t>
      </w:r>
      <w:r>
        <w:t xml:space="preserve"> </w:t>
      </w:r>
      <m:oMath>
        <m:r>
          <m:t>p</m:t>
        </m:r>
        <m:r>
          <m:rPr>
            <m:sty m:val="p"/>
          </m:rPr>
          <m:t>=</m:t>
        </m:r>
        <m:r>
          <m:t>0.03</m:t>
        </m:r>
      </m:oMath>
      <w:r>
        <w:t xml:space="preserve">). The structural model significantly outperformed the clinical model (AUC 0.76 vs. 0.60;</w:t>
      </w:r>
      <w:r>
        <w:t xml:space="preserve"> </w:t>
      </w:r>
      <m:oMath>
        <m:r>
          <m:t>p</m:t>
        </m:r>
        <m:r>
          <m:rPr>
            <m:sty m:val="p"/>
          </m:rPr>
          <m:t>&lt;</m:t>
        </m:r>
        <m:r>
          <m:t>0.05</m:t>
        </m:r>
      </m:oMath>
      <w:r>
        <w:t xml:space="preserve">). Subgroup analysis of diabetic patients (</w:t>
      </w:r>
      <m:oMath>
        <m:r>
          <m:t>n</m:t>
        </m:r>
        <m:r>
          <m:rPr>
            <m:sty m:val="p"/>
          </m:rPr>
          <m:t>=</m:t>
        </m:r>
        <m:r>
          <m:t>66</m:t>
        </m:r>
      </m:oMath>
      <w:r>
        <w:t xml:space="preserve">) revealed a distinct</w:t>
      </w:r>
      <w:r>
        <w:t xml:space="preserve"> </w:t>
      </w:r>
      <w:r>
        <w:t xml:space="preserve">“cortical-specific”</w:t>
      </w:r>
      <w:r>
        <w:t xml:space="preserve"> </w:t>
      </w:r>
      <w:r>
        <w:t xml:space="preserve">phenotype, where fragility was primarily driven by increased Cortical Porosity (</w:t>
      </w:r>
      <m:oMath>
        <m:r>
          <m:t>C</m:t>
        </m:r>
        <m:r>
          <m:t>t</m:t>
        </m:r>
        <m:r>
          <m:rPr>
            <m:sty m:val="p"/>
          </m:rPr>
          <m:t>.</m:t>
        </m:r>
        <m:r>
          <m:t>P</m:t>
        </m:r>
        <m:r>
          <m:t>o</m:t>
        </m:r>
      </m:oMath>
      <w:r>
        <w:t xml:space="preserve">,</w:t>
      </w:r>
      <w:r>
        <w:t xml:space="preserve"> </w:t>
      </w:r>
      <m:oMath>
        <m:r>
          <m:t>p</m:t>
        </m:r>
        <m:r>
          <m:rPr>
            <m:sty m:val="p"/>
          </m:rPr>
          <m:t>&lt;</m:t>
        </m:r>
        <m:r>
          <m:t>0.05</m:t>
        </m:r>
      </m:oMath>
      <w:r>
        <w:t xml:space="preserve">) despite relatively preserved trabecular indices.</w:t>
      </w:r>
    </w:p>
    <w:p>
      <w:pPr>
        <w:pStyle w:val="BodyText"/>
      </w:pPr>
      <w:r>
        <w:rPr>
          <w:b/>
          <w:bCs/>
        </w:rPr>
        <w:t xml:space="preserve">Conclusion:</w:t>
      </w:r>
      <w:r>
        <w:t xml:space="preserve"> </w:t>
      </w:r>
      <w:r>
        <w:t xml:space="preserve">Standard densitometry fails to capture the hidden fragility inherent in the osteopenic population. HR-pQCT unmasks this risk by quantifying</w:t>
      </w:r>
      <w:r>
        <w:t xml:space="preserve"> </w:t>
      </w:r>
      <w:r>
        <w:rPr>
          <w:b/>
          <w:bCs/>
        </w:rPr>
        <w:t xml:space="preserve">Trabecular Disconnection</w:t>
      </w:r>
      <w:r>
        <w:t xml:space="preserve"> </w:t>
      </w:r>
      <w:r>
        <w:t xml:space="preserve">in the general population and</w:t>
      </w:r>
      <w:r>
        <w:t xml:space="preserve"> </w:t>
      </w:r>
      <w:r>
        <w:rPr>
          <w:b/>
          <w:bCs/>
        </w:rPr>
        <w:t xml:space="preserve">Cortical Porosity</w:t>
      </w:r>
      <w:r>
        <w:t xml:space="preserve"> </w:t>
      </w:r>
      <w:r>
        <w:t xml:space="preserve">in patients with Type 2 Diabetes Mellitus. These findings validate HR-pQCT/</w:t>
      </w:r>
      <m:oMath>
        <m:r>
          <m:t>μ</m:t>
        </m:r>
      </m:oMath>
      <w:r>
        <w:t xml:space="preserve">FEA as critical stratification tools for</w:t>
      </w:r>
      <w:r>
        <w:t xml:space="preserve"> </w:t>
      </w:r>
      <w:r>
        <w:t xml:space="preserve">“moderate-risk”</w:t>
      </w:r>
      <w:r>
        <w:t xml:space="preserve"> </w:t>
      </w:r>
      <w:r>
        <w:t xml:space="preserve">patients, providing a structural basis for treatment decisions in patients who otherwise fall below the traditional DXA-based intervention threshold.</w:t>
      </w:r>
    </w:p>
    <w:bookmarkEnd w:id="21"/>
    <w:bookmarkStart w:id="22" w:name="introduction"/>
    <w:p>
      <w:pPr>
        <w:pStyle w:val="Heading1"/>
      </w:pPr>
      <w:r>
        <w:t xml:space="preserve">3. Introduction</w:t>
      </w:r>
    </w:p>
    <w:bookmarkEnd w:id="22"/>
    <w:bookmarkStart w:id="23" w:name="introduction-1"/>
    <w:p>
      <w:pPr>
        <w:pStyle w:val="Heading1"/>
      </w:pPr>
      <w:r>
        <w:t xml:space="preserve">4. Introduction</w:t>
      </w:r>
    </w:p>
    <w:p>
      <w:pPr>
        <w:pStyle w:val="FirstParagraph"/>
      </w:pPr>
      <w:r>
        <w:t xml:space="preserve">Osteoporosis is a silent systemic skeletal disorder characterized by low bone mass and microarchitectural deterioration of bone tissue, leading to an increased risk of fragility fractures. The operational definition of osteoporosis, established by the World Health Organization (WHO), relies on an areal Bone Mineral Density (</w:t>
      </w:r>
      <m:oMath>
        <m:r>
          <m:t>a</m:t>
        </m:r>
        <m:r>
          <m:t>B</m:t>
        </m:r>
        <m:r>
          <m:t>M</m:t>
        </m:r>
        <m:r>
          <m:t>D</m:t>
        </m:r>
      </m:oMath>
      <w:r>
        <w:t xml:space="preserve">)</w:t>
      </w:r>
      <w:r>
        <w:t xml:space="preserve"> </w:t>
      </w:r>
      <m:oMath>
        <m:r>
          <m:t>T</m:t>
        </m:r>
      </m:oMath>
      <w:r>
        <w:t xml:space="preserve">-score of</w:t>
      </w:r>
      <w:r>
        <w:t xml:space="preserve"> </w:t>
      </w:r>
      <m:oMath>
        <m:r>
          <m:rPr>
            <m:sty m:val="p"/>
          </m:rPr>
          <m:t>≤</m:t>
        </m:r>
        <m:r>
          <m:rPr>
            <m:sty m:val="p"/>
          </m:rPr>
          <m:t>−</m:t>
        </m:r>
        <m:r>
          <m:t>2.5</m:t>
        </m:r>
      </m:oMath>
      <w:r>
        <w:t xml:space="preserve"> </w:t>
      </w:r>
      <w:r>
        <w:t xml:space="preserve">assessed by Dual-energy X-ray Absorptiometry (DXA). While this threshold is highly specific for identifying those at the highest risk, it lacks sufficient sensitivity. Epidemiological data from the National Osteoporosis Risk Assessment (NORA) study and others indicate that the majority of fragility fractures actually occur in women with</w:t>
      </w:r>
      <w:r>
        <w:t xml:space="preserve"> </w:t>
      </w:r>
      <m:oMath>
        <m:r>
          <m:t>T</m:t>
        </m:r>
      </m:oMath>
      <w:r>
        <w:t xml:space="preserve">-scores in the osteopenic range (between -1.0 and -2.5), a phenomenon often termed the</w:t>
      </w:r>
      <w:r>
        <w:t xml:space="preserve"> </w:t>
      </w:r>
      <w:r>
        <w:t xml:space="preserve">“prevention paradox”</w:t>
      </w:r>
      <w:r>
        <w:t xml:space="preserve"> </w:t>
      </w:r>
      <w:r>
        <w:t xml:space="preserve">[@siris2001; @pasco2006]</w:t>
      </w:r>
      <w:r>
        <w:t xml:space="preserve">.</w:t>
      </w:r>
    </w:p>
    <w:p>
      <w:pPr>
        <w:pStyle w:val="BodyText"/>
      </w:pPr>
      <w:r>
        <w:t xml:space="preserve">This diagnostic</w:t>
      </w:r>
      <w:r>
        <w:t xml:space="preserve"> </w:t>
      </w:r>
      <w:r>
        <w:t xml:space="preserve">“grey zone”</w:t>
      </w:r>
      <w:r>
        <w:t xml:space="preserve"> </w:t>
      </w:r>
      <w:r>
        <w:t xml:space="preserve">represents a significant clinical challenge: these patients often do not meet traditional intervention thresholds and may be excluded from reimbursement for potent anabolic therapies despite their demonstrated skeletal fragility.</w:t>
      </w:r>
    </w:p>
    <w:p>
      <w:pPr>
        <w:pStyle w:val="BodyText"/>
      </w:pPr>
      <w:r>
        <w:t xml:space="preserve">The inability of DXA to accurately stratify risk within the osteopenic cohort stems from its inherent technological limitations; it provides a two-dimensional projection of a complex three-dimensional structure. Consequently, DXA cannot distinguish between the cortical and trabecular compartments, nor can it resolve the microarchitectural determinants of bone strength, such as trabecular connectivity or cortical porosity (</w:t>
      </w:r>
      <m:oMath>
        <m:r>
          <m:t>C</m:t>
        </m:r>
        <m:r>
          <m:t>t</m:t>
        </m:r>
        <m:r>
          <m:rPr>
            <m:sty m:val="p"/>
          </m:rPr>
          <m:t>.</m:t>
        </m:r>
        <m:r>
          <m:t>P</m:t>
        </m:r>
        <m:r>
          <m:t>o</m:t>
        </m:r>
      </m:oMath>
      <w:r>
        <w:t xml:space="preserve">). While the Trabecular Bone Score (TBS) has emerged as a texture-based proxy for microarchitecture, it remains an indirect measure derived from standard DXA images and does not provide direct volumetric or structural data</w:t>
      </w:r>
      <w:r>
        <w:t xml:space="preserve"> </w:t>
      </w:r>
      <w:r>
        <w:t xml:space="preserve">[@hans2011]</w:t>
      </w:r>
      <w:r>
        <w:t xml:space="preserve">.</w:t>
      </w:r>
    </w:p>
    <w:p>
      <w:pPr>
        <w:pStyle w:val="BodyText"/>
      </w:pPr>
      <w:r>
        <w:t xml:space="preserve">High-Resolution Peripheral Quantitative Computed Tomography (HR-pQCT) has revolutionized our understanding of bone fragility by allowing for the</w:t>
      </w:r>
      <w:r>
        <w:t xml:space="preserve"> </w:t>
      </w:r>
      <w:r>
        <w:rPr>
          <w:i/>
          <w:iCs/>
        </w:rPr>
        <w:t xml:space="preserve">in vivo</w:t>
      </w:r>
      <w:r>
        <w:t xml:space="preserve"> </w:t>
      </w:r>
      <w:r>
        <w:t xml:space="preserve">assessment of volumetric BMD (</w:t>
      </w:r>
      <m:oMath>
        <m:r>
          <m:t>v</m:t>
        </m:r>
        <m:r>
          <m:t>B</m:t>
        </m:r>
        <m:r>
          <m:t>M</m:t>
        </m:r>
        <m:r>
          <m:t>D</m:t>
        </m:r>
      </m:oMath>
      <w:r>
        <w:t xml:space="preserve">) and microarchitecture at the distal radius and tibia. Often described as a</w:t>
      </w:r>
      <w:r>
        <w:t xml:space="preserve"> </w:t>
      </w:r>
      <w:r>
        <w:t xml:space="preserve">“virtual bone biopsy,”</w:t>
      </w:r>
      <w:r>
        <w:t xml:space="preserve"> </w:t>
      </w:r>
      <w:r>
        <w:t xml:space="preserve">HR-pQCT can quantify specific structural deficits that standard densitometry fails to resolve.</w:t>
      </w:r>
    </w:p>
    <w:p>
      <w:pPr>
        <w:pStyle w:val="BodyText"/>
      </w:pPr>
      <w:r>
        <w:t xml:space="preserve">Recent pivotal studies have highlighted distinct microarchitectural phenotypes associated with fracture. In the OFELY study, Sornay-Rendu et al. demonstrated that cortical porosity and trabecular density were independent predictors of fracture risk in postmenopausal women, identifying high-risk individuals who were missed by DXA alone</w:t>
      </w:r>
      <w:r>
        <w:t xml:space="preserve"> </w:t>
      </w:r>
      <w:r>
        <w:t xml:space="preserve">[@sornay-rendu2017]</w:t>
      </w:r>
      <w:r>
        <w:t xml:space="preserve">. Similarly, in the context of Type 2 Diabetes Mellitus (T2DM)—a condition frequently characterized by normal or even elevated</w:t>
      </w:r>
      <w:r>
        <w:t xml:space="preserve"> </w:t>
      </w:r>
      <m:oMath>
        <m:r>
          <m:t>a</m:t>
        </m:r>
        <m:r>
          <m:t>B</m:t>
        </m:r>
        <m:r>
          <m:t>M</m:t>
        </m:r>
        <m:r>
          <m:t>D</m:t>
        </m:r>
      </m:oMath>
      <w:r>
        <w:t xml:space="preserve"> </w:t>
      </w:r>
      <w:r>
        <w:t xml:space="preserve">despite a high fracture burden—Patsch et al. identified cortical porosity as a primary driver of skeletal fragility</w:t>
      </w:r>
      <w:r>
        <w:t xml:space="preserve"> </w:t>
      </w:r>
      <w:r>
        <w:t xml:space="preserve">[@patsch2013]</w:t>
      </w:r>
      <w:r>
        <w:t xml:space="preserve">.</w:t>
      </w:r>
    </w:p>
    <w:p>
      <w:pPr>
        <w:pStyle w:val="BodyText"/>
      </w:pPr>
      <w:r>
        <w:t xml:space="preserve">Despite these advances, the specific biomechanical drivers of fracture within the distinct subgroup of</w:t>
      </w:r>
      <w:r>
        <w:t xml:space="preserve"> </w:t>
      </w:r>
      <w:r>
        <w:t xml:space="preserve">“non-osteoporotic”</w:t>
      </w:r>
      <w:r>
        <w:t xml:space="preserve"> </w:t>
      </w:r>
      <w:r>
        <w:t xml:space="preserve">(osteopenic) women remain under-characterized. It is currently unclear whether the structural failure in this intermediate group is driven by the same mechanisms seen in frank osteoporosis (trabecular dropout) or by cortical deficits similar to those observed in diabetic bone disease.</w:t>
      </w:r>
    </w:p>
    <w:p>
      <w:pPr>
        <w:pStyle w:val="BodyText"/>
      </w:pPr>
      <w:r>
        <w:rPr>
          <w:b/>
          <w:bCs/>
        </w:rPr>
        <w:t xml:space="preserve">Objectives:</w:t>
      </w:r>
      <w:r>
        <w:t xml:space="preserve"> </w:t>
      </w:r>
      <w:r>
        <w:t xml:space="preserve">The primary objective of this study was to evaluate the diagnostic superiority of HR-pQCT and micro-Finite Element Analysis (</w:t>
      </w:r>
      <m:oMath>
        <m:r>
          <m:t>μ</m:t>
        </m:r>
      </m:oMath>
      <w:r>
        <w:t xml:space="preserve">FEA) over standard clinical assessment (DXA + FRAX + TBS) in discriminating prevalent fractures within the osteopenic</w:t>
      </w:r>
      <w:r>
        <w:t xml:space="preserve"> </w:t>
      </w:r>
      <w:r>
        <w:t xml:space="preserve">“grey zone”</w:t>
      </w:r>
      <w:r>
        <w:t xml:space="preserve"> </w:t>
      </w:r>
      <w:r>
        <w:t xml:space="preserve">(</w:t>
      </w:r>
      <m:oMath>
        <m:r>
          <m:t>n</m:t>
        </m:r>
        <m:r>
          <m:rPr>
            <m:sty m:val="p"/>
          </m:rPr>
          <m:t>=</m:t>
        </m:r>
        <m:r>
          <m:t>91</m:t>
        </m:r>
      </m:oMath>
      <w:r>
        <w:t xml:space="preserve">). Secondarily, we sought to phenotype the specific structural contribution of T2DM to bone fragility across the total cohort (</w:t>
      </w:r>
      <m:oMath>
        <m:r>
          <m:t>N</m:t>
        </m:r>
        <m:r>
          <m:rPr>
            <m:sty m:val="p"/>
          </m:rPr>
          <m:t>=</m:t>
        </m:r>
        <m:r>
          <m:t>215</m:t>
        </m:r>
      </m:oMath>
      <w:r>
        <w:t xml:space="preserve">) and specifically within the osteopenic subgroup (</w:t>
      </w:r>
      <m:oMath>
        <m:r>
          <m:t>n</m:t>
        </m:r>
        <m:r>
          <m:rPr>
            <m:sty m:val="p"/>
          </m:rPr>
          <m:t>=</m:t>
        </m:r>
        <m:r>
          <m:t>66</m:t>
        </m:r>
      </m:oMath>
      <w:r>
        <w:t xml:space="preserve">), testing the hypothesis that diabetic fragility is primarily cortically driven, whereas general osteopenic fragility is primarily trabecular in origin.</w:t>
      </w:r>
    </w:p>
    <w:bookmarkEnd w:id="23"/>
    <w:bookmarkStart w:id="25" w:name="materials-and-methods"/>
    <w:p>
      <w:pPr>
        <w:pStyle w:val="Heading1"/>
      </w:pPr>
      <w:r>
        <w:t xml:space="preserve">5. Materials and Methods</w:t>
      </w:r>
    </w:p>
    <w:bookmarkStart w:id="24" w:name="study-design-and-participants"/>
    <w:p>
      <w:pPr>
        <w:pStyle w:val="Heading2"/>
      </w:pPr>
      <w:r>
        <w:t xml:space="preserve">5.1 Study Design and Participants</w:t>
      </w:r>
    </w:p>
    <w:bookmarkEnd w:id="24"/>
    <w:bookmarkEnd w:id="25"/>
    <w:bookmarkStart w:id="42" w:name="methods"/>
    <w:p>
      <w:pPr>
        <w:pStyle w:val="Heading1"/>
      </w:pPr>
      <w:r>
        <w:t xml:space="preserve">6. Methods</w:t>
      </w:r>
    </w:p>
    <w:bookmarkStart w:id="26" w:name="study-design-and-population"/>
    <w:p>
      <w:pPr>
        <w:pStyle w:val="Heading3"/>
      </w:pPr>
      <w:r>
        <w:t xml:space="preserve">6.0.1 Study Design and Population</w:t>
      </w:r>
    </w:p>
    <w:p>
      <w:pPr>
        <w:pStyle w:val="FirstParagraph"/>
      </w:pPr>
      <w:r>
        <w:t xml:space="preserve">This cross-sectional, observational study was conducted at a tertiary care metabolic bone center in Lucknow, India. We recruited</w:t>
      </w:r>
      <w:r>
        <w:t xml:space="preserve"> </w:t>
      </w:r>
      <w:r>
        <w:rPr>
          <w:b/>
          <w:bCs/>
        </w:rPr>
        <w:t xml:space="preserve">215 postmenopausal women</w:t>
      </w:r>
      <w:r>
        <w:t xml:space="preserve"> </w:t>
      </w:r>
      <w:r>
        <w:t xml:space="preserve">to evaluate the structural determinants of skeletal fragility. To ensure data integrity for advanced biomechanical modeling, we utilized an</w:t>
      </w:r>
      <w:r>
        <w:t xml:space="preserve"> </w:t>
      </w:r>
      <w:r>
        <w:rPr>
          <w:b/>
          <w:bCs/>
        </w:rPr>
        <w:t xml:space="preserve">“Entry Ticket”</w:t>
      </w:r>
      <w:r>
        <w:rPr>
          <w:b/>
          <w:bCs/>
        </w:rPr>
        <w:t xml:space="preserve"> </w:t>
      </w:r>
      <w:r>
        <w:rPr>
          <w:b/>
          <w:bCs/>
        </w:rPr>
        <w:t xml:space="preserve">inclusion strategy</w:t>
      </w:r>
      <w:r>
        <w:t xml:space="preserve">: participants were only included if they successfully completed both standard-of-care densitometry (DXA) and high-resolution peripheral quantitative computed tomography (HR-pQCT) of the distal radius and tibia.</w:t>
      </w:r>
    </w:p>
    <w:p>
      <w:pPr>
        <w:pStyle w:val="BodyText"/>
      </w:pPr>
      <w:r>
        <w:t xml:space="preserve">The study was powered to test two distinct hypotheses:</w:t>
      </w:r>
    </w:p>
    <w:p>
      <w:pPr>
        <w:pStyle w:val="Compact"/>
        <w:numPr>
          <w:ilvl w:val="0"/>
          <w:numId w:val="1001"/>
        </w:numPr>
      </w:pPr>
      <w:r>
        <w:rPr>
          <w:b/>
          <w:bCs/>
        </w:rPr>
        <w:t xml:space="preserve">Hypothesis 1 (Global Diagnostic Performance):</w:t>
      </w:r>
      <w:r>
        <w:t xml:space="preserve"> </w:t>
      </w:r>
      <w:r>
        <w:t xml:space="preserve">A comparison across the total cohort (</w:t>
      </w:r>
      <m:oMath>
        <m:r>
          <m:t>N</m:t>
        </m:r>
        <m:r>
          <m:rPr>
            <m:sty m:val="p"/>
          </m:rPr>
          <m:t>=</m:t>
        </m:r>
        <m:r>
          <m:t>215</m:t>
        </m:r>
      </m:oMath>
      <w:r>
        <w:t xml:space="preserve">) consisting of 118 women with prevalent fragility fractures (Group A) and 97 non-fracture controls (Group B).</w:t>
      </w:r>
    </w:p>
    <w:p>
      <w:pPr>
        <w:pStyle w:val="Compact"/>
        <w:numPr>
          <w:ilvl w:val="0"/>
          <w:numId w:val="1001"/>
        </w:numPr>
      </w:pPr>
      <w:r>
        <w:rPr>
          <w:b/>
          <w:bCs/>
        </w:rPr>
        <w:t xml:space="preserve">Hypothesis 2 (The</w:t>
      </w:r>
      <w:r>
        <w:rPr>
          <w:b/>
          <w:bCs/>
        </w:rPr>
        <w:t xml:space="preserve"> </w:t>
      </w:r>
      <w:r>
        <w:rPr>
          <w:b/>
          <w:bCs/>
        </w:rPr>
        <w:t xml:space="preserve">“Grey Zone”</w:t>
      </w:r>
      <w:r>
        <w:rPr>
          <w:b/>
          <w:bCs/>
        </w:rPr>
        <w:t xml:space="preserve"> </w:t>
      </w:r>
      <w:r>
        <w:rPr>
          <w:b/>
          <w:bCs/>
        </w:rPr>
        <w:t xml:space="preserve">Analysis):</w:t>
      </w:r>
      <w:r>
        <w:t xml:space="preserve"> </w:t>
      </w:r>
      <w:r>
        <w:t xml:space="preserve">Our primary objective focused on the diagnostic</w:t>
      </w:r>
      <w:r>
        <w:t xml:space="preserve"> </w:t>
      </w:r>
      <w:r>
        <w:t xml:space="preserve">“Grey Zone”</w:t>
      </w:r>
      <w:r>
        <w:t xml:space="preserve">—women with osteopenia defined strictly by the</w:t>
      </w:r>
      <w:r>
        <w:t xml:space="preserve"> </w:t>
      </w:r>
      <w:r>
        <w:rPr>
          <w:b/>
          <w:bCs/>
        </w:rPr>
        <w:t xml:space="preserve">WHO Classification</w:t>
      </w:r>
      <w:r>
        <w:t xml:space="preserve"> </w:t>
      </w:r>
      <w:r>
        <w:t xml:space="preserve">(lowest</w:t>
      </w:r>
      <w:r>
        <w:t xml:space="preserve"> </w:t>
      </w:r>
      <m:oMath>
        <m:r>
          <m:t>T</m:t>
        </m:r>
      </m:oMath>
      <w:r>
        <w:t xml:space="preserve">-score between -1.0 and -2.5). This sub-cohort (</w:t>
      </w:r>
      <m:oMath>
        <m:r>
          <m:t>n</m:t>
        </m:r>
        <m:r>
          <m:rPr>
            <m:sty m:val="p"/>
          </m:rPr>
          <m:t>=</m:t>
        </m:r>
        <m:r>
          <m:t>91</m:t>
        </m:r>
      </m:oMath>
      <w:r>
        <w:t xml:space="preserve">) consisted of 47 fracture cases and 44 age-matched controls.</w:t>
      </w:r>
    </w:p>
    <w:p>
      <w:pPr>
        <w:pStyle w:val="FirstParagraph"/>
      </w:pPr>
      <w:r>
        <w:t xml:space="preserve">Additionally, a pre-specified subgroup analysis was performed for patients with Type 2 Diabetes Mellitus (T2DM), encompassing</w:t>
      </w:r>
      <w:r>
        <w:t xml:space="preserve"> </w:t>
      </w:r>
      <m:oMath>
        <m:r>
          <m:t>N</m:t>
        </m:r>
        <m:r>
          <m:rPr>
            <m:sty m:val="p"/>
          </m:rPr>
          <m:t>=</m:t>
        </m:r>
        <m:r>
          <m:t>140</m:t>
        </m:r>
      </m:oMath>
      <w:r>
        <w:t xml:space="preserve"> </w:t>
      </w:r>
      <w:r>
        <w:t xml:space="preserve">in the total cohort and</w:t>
      </w:r>
      <w:r>
        <w:t xml:space="preserve"> </w:t>
      </w:r>
      <m:oMath>
        <m:r>
          <m:t>n</m:t>
        </m:r>
        <m:r>
          <m:rPr>
            <m:sty m:val="p"/>
          </m:rPr>
          <m:t>=</m:t>
        </m:r>
        <m:r>
          <m:t>66</m:t>
        </m:r>
      </m:oMath>
      <w:r>
        <w:t xml:space="preserve"> </w:t>
      </w:r>
      <w:r>
        <w:t xml:space="preserve">within the osteopenic sub-cohort.</w:t>
      </w:r>
    </w:p>
    <w:p>
      <w:pPr>
        <w:pStyle w:val="BodyText"/>
      </w:pPr>
      <w:r>
        <w:rPr>
          <w:b/>
          <w:bCs/>
        </w:rPr>
        <w:t xml:space="preserve">Exclusion Criteria:</w:t>
      </w:r>
      <w:r>
        <w:t xml:space="preserve"> </w:t>
      </w:r>
      <w:r>
        <w:t xml:space="preserve">Exclusion criteria included secondary causes of bone loss (e.g., hyperparathyroidism, malabsorption, or glucocorticoid therapy), chronic kidney disease (eGFR &lt; 30 mL/min/1.73m²), and high-impact trauma. HR-pQCT scans with significant motion artifacts (Scanco motion grade &gt; 3) were excluded from the final analysis.</w:t>
      </w:r>
    </w:p>
    <w:bookmarkEnd w:id="26"/>
    <w:bookmarkStart w:id="27" w:name="clinical-and-densitometric-assessment"/>
    <w:p>
      <w:pPr>
        <w:pStyle w:val="Heading3"/>
      </w:pPr>
      <w:r>
        <w:t xml:space="preserve">6.0.2 Clinical and Densitometric Assessment</w:t>
      </w:r>
    </w:p>
    <w:p>
      <w:pPr>
        <w:pStyle w:val="FirstParagraph"/>
      </w:pPr>
      <w:r>
        <w:t xml:space="preserve">Areal Bone Mineral Density (</w:t>
      </w:r>
      <m:oMath>
        <m:r>
          <m:t>a</m:t>
        </m:r>
        <m:r>
          <m:t>B</m:t>
        </m:r>
        <m:r>
          <m:t>M</m:t>
        </m:r>
        <m:r>
          <m:t>D</m:t>
        </m:r>
      </m:oMath>
      <w:r>
        <w:t xml:space="preserve">, g/cm²) and</w:t>
      </w:r>
      <w:r>
        <w:t xml:space="preserve"> </w:t>
      </w:r>
      <m:oMath>
        <m:r>
          <m:t>T</m:t>
        </m:r>
      </m:oMath>
      <w:r>
        <w:t xml:space="preserve">-scores were measured at the lumbar spine (</w:t>
      </w:r>
      <m:oMath>
        <m:r>
          <m:t>L</m:t>
        </m:r>
        <m:r>
          <m:t>1</m:t>
        </m:r>
        <m:r>
          <m:rPr>
            <m:sty m:val="p"/>
          </m:rPr>
          <m:t>−</m:t>
        </m:r>
        <m:r>
          <m:t>L</m:t>
        </m:r>
        <m:r>
          <m:t>4</m:t>
        </m:r>
      </m:oMath>
      <w:r>
        <w:t xml:space="preserve">), femoral neck, and total hip using dual-energy X-ray absorptiometry (DXA; Prodigy, GE Lunar). The Trabecular Bone Score (TBS) was derived from the spine DXA images (TBS iNsight, Medimaps). 10-year fracture probability was calculated using the FRAX® tool (India-specific model).</w:t>
      </w:r>
    </w:p>
    <w:bookmarkEnd w:id="27"/>
    <w:bookmarkStart w:id="28" w:name="hr-pqct-imaging-and-mufea"/>
    <w:p>
      <w:pPr>
        <w:pStyle w:val="Heading3"/>
      </w:pPr>
      <w:r>
        <w:t xml:space="preserve">6.0.3 HR-pQCT Imaging and</w:t>
      </w:r>
      <w:r>
        <w:t xml:space="preserve"> </w:t>
      </w:r>
      <m:oMath>
        <m:r>
          <m:t>μ</m:t>
        </m:r>
      </m:oMath>
      <w:r>
        <w:t xml:space="preserve">FEA</w:t>
      </w:r>
    </w:p>
    <w:p>
      <w:pPr>
        <w:pStyle w:val="FirstParagraph"/>
      </w:pPr>
      <w:r>
        <w:t xml:space="preserve">Volumetric BMD (</w:t>
      </w:r>
      <m:oMath>
        <m:r>
          <m:t>v</m:t>
        </m:r>
        <m:r>
          <m:t>B</m:t>
        </m:r>
        <m:r>
          <m:t>M</m:t>
        </m:r>
        <m:r>
          <m:t>D</m:t>
        </m:r>
      </m:oMath>
      <w:r>
        <w:t xml:space="preserve">) and microarchitecture were assessed at the distal radius and tibia using a second-generation HR-pQCT scanner (XtremeCT II, Scanco Medical AG, Brüttisellen, Switzerland).</w:t>
      </w:r>
    </w:p>
    <w:p>
      <w:pPr>
        <w:pStyle w:val="Compact"/>
        <w:numPr>
          <w:ilvl w:val="0"/>
          <w:numId w:val="1002"/>
        </w:numPr>
      </w:pPr>
      <w:r>
        <w:rPr>
          <w:b/>
          <w:bCs/>
        </w:rPr>
        <w:t xml:space="preserve">Scanning Protocol:</w:t>
      </w:r>
      <w:r>
        <w:t xml:space="preserve"> </w:t>
      </w:r>
      <w:r>
        <w:t xml:space="preserve">An isotropic voxel size of 61 µm was utilized. Following a scout view, 168 sections were acquired starting at 9.5 mm and 22.5 mm proximal to the reference line for the radius and tibia, respectively.</w:t>
      </w:r>
    </w:p>
    <w:p>
      <w:pPr>
        <w:pStyle w:val="Compact"/>
        <w:numPr>
          <w:ilvl w:val="0"/>
          <w:numId w:val="1002"/>
        </w:numPr>
      </w:pPr>
      <w:r>
        <w:rPr>
          <w:b/>
          <w:bCs/>
        </w:rPr>
        <w:t xml:space="preserve">Parameters:</w:t>
      </w:r>
      <w:r>
        <w:t xml:space="preserve"> </w:t>
      </w:r>
      <w:r>
        <w:t xml:space="preserve">Key morphological outcomes included total vBMD (</w:t>
      </w:r>
      <m:oMath>
        <m:r>
          <m:t>T</m:t>
        </m:r>
        <m:r>
          <m:t>t</m:t>
        </m:r>
        <m:r>
          <m:rPr>
            <m:sty m:val="p"/>
          </m:rPr>
          <m:t>.</m:t>
        </m:r>
        <m:r>
          <m:t>v</m:t>
        </m:r>
        <m:r>
          <m:t>B</m:t>
        </m:r>
        <m:r>
          <m:t>M</m:t>
        </m:r>
        <m:r>
          <m:t>D</m:t>
        </m:r>
      </m:oMath>
      <w:r>
        <w:t xml:space="preserve">), trabecular number (</w:t>
      </w:r>
      <m:oMath>
        <m:r>
          <m:t>T</m:t>
        </m:r>
        <m:r>
          <m:t>b</m:t>
        </m:r>
        <m:r>
          <m:rPr>
            <m:sty m:val="p"/>
          </m:rPr>
          <m:t>.</m:t>
        </m:r>
        <m:r>
          <m:t>N</m:t>
        </m:r>
      </m:oMath>
      <w:r>
        <w:t xml:space="preserve">), and cortical porosity (</w:t>
      </w:r>
      <m:oMath>
        <m:r>
          <m:t>C</m:t>
        </m:r>
        <m:r>
          <m:t>t</m:t>
        </m:r>
        <m:r>
          <m:rPr>
            <m:sty m:val="p"/>
          </m:rPr>
          <m:t>.</m:t>
        </m:r>
        <m:r>
          <m:t>P</m:t>
        </m:r>
        <m:r>
          <m:t>o</m:t>
        </m:r>
      </m:oMath>
      <w:r>
        <w:t xml:space="preserve">).</w:t>
      </w:r>
    </w:p>
    <w:p>
      <w:pPr>
        <w:pStyle w:val="Compact"/>
        <w:numPr>
          <w:ilvl w:val="0"/>
          <w:numId w:val="1002"/>
        </w:numPr>
      </w:pPr>
      <w:r>
        <w:rPr>
          <w:b/>
          <w:bCs/>
        </w:rPr>
        <w:t xml:space="preserve">Micro-Finite Element Analysis (</w:t>
      </w:r>
      <m:oMath>
        <m:r>
          <m:t>μ</m:t>
        </m:r>
      </m:oMath>
      <w:r>
        <w:rPr>
          <w:b/>
          <w:bCs/>
        </w:rPr>
        <w:t xml:space="preserve">FEA):</w:t>
      </w:r>
      <w:r>
        <w:t xml:space="preserve"> </w:t>
      </w:r>
      <w:r>
        <w:t xml:space="preserve">Biomechanical competence was estimated using a linear</w:t>
      </w:r>
      <w:r>
        <w:t xml:space="preserve"> </w:t>
      </w:r>
      <m:oMath>
        <m:r>
          <m:t>μ</m:t>
        </m:r>
      </m:oMath>
      <w:r>
        <w:t xml:space="preserve">FEA solver (Scanco Medical). A uniaxial compression test was simulated with a 1% apparent strain to derive</w:t>
      </w:r>
      <w:r>
        <w:t xml:space="preserve"> </w:t>
      </w:r>
      <w:r>
        <w:rPr>
          <w:b/>
          <w:bCs/>
        </w:rPr>
        <w:t xml:space="preserve">Failure Load</w:t>
      </w:r>
      <w:r>
        <w:t xml:space="preserve"> </w:t>
      </w:r>
      <w:r>
        <w:t xml:space="preserve">(</w:t>
      </w:r>
      <m:oMath>
        <m:r>
          <m:t>F</m:t>
        </m:r>
        <m:r>
          <m:rPr>
            <m:sty m:val="p"/>
          </m:rPr>
          <m:t>.</m:t>
        </m:r>
        <m:r>
          <m:t>L</m:t>
        </m:r>
        <m:r>
          <m:t>o</m:t>
        </m:r>
        <m:r>
          <m:t>a</m:t>
        </m:r>
        <m:r>
          <m:t>d</m:t>
        </m:r>
        <m:r>
          <m:rPr>
            <m:sty m:val="p"/>
          </m:rPr>
          <m:t>,</m:t>
        </m:r>
        <m:r>
          <m:t>N</m:t>
        </m:r>
      </m:oMath>
      <w:r>
        <w:t xml:space="preserve">) and</w:t>
      </w:r>
      <w:r>
        <w:t xml:space="preserve"> </w:t>
      </w:r>
      <w:r>
        <w:rPr>
          <w:b/>
          <w:bCs/>
        </w:rPr>
        <w:t xml:space="preserve">Stiffness</w:t>
      </w:r>
      <w:r>
        <w:t xml:space="preserve"> </w:t>
      </w:r>
      <w:r>
        <w:t xml:space="preserve">(</w:t>
      </w:r>
      <m:oMath>
        <m:r>
          <m:t>k</m:t>
        </m:r>
        <m:r>
          <m:t>N</m:t>
        </m:r>
        <m:r>
          <m:rPr>
            <m:sty m:val="p"/>
          </m:rPr>
          <m:t>/</m:t>
        </m:r>
        <m:r>
          <m:t>m</m:t>
        </m:r>
        <m:r>
          <m:t>m</m:t>
        </m:r>
      </m:oMath>
      <w:r>
        <w:t xml:space="preserve">).</w:t>
      </w:r>
    </w:p>
    <w:bookmarkEnd w:id="28"/>
    <w:bookmarkStart w:id="29" w:name="missing-data-and-statistical-analysis"/>
    <w:p>
      <w:pPr>
        <w:pStyle w:val="Heading3"/>
      </w:pPr>
      <w:r>
        <w:t xml:space="preserve">6.0.4 Missing Data and Statistical Analysis</w:t>
      </w:r>
    </w:p>
    <w:p>
      <w:pPr>
        <w:pStyle w:val="FirstParagraph"/>
      </w:pPr>
      <w:r>
        <w:t xml:space="preserve">To maintain the</w:t>
      </w:r>
      <w:r>
        <w:t xml:space="preserve"> </w:t>
      </w:r>
      <w:r>
        <w:t xml:space="preserve">“Root Cause”</w:t>
      </w:r>
      <w:r>
        <w:t xml:space="preserve"> </w:t>
      </w:r>
      <w:r>
        <w:t xml:space="preserve">focus and maximize sample size, missing data points within the valid scan sets (e.g., a single missing cortical parameter due to localized artifact) were managed via</w:t>
      </w:r>
      <w:r>
        <w:t xml:space="preserve"> </w:t>
      </w:r>
      <w:r>
        <w:rPr>
          <w:b/>
          <w:bCs/>
        </w:rPr>
        <w:t xml:space="preserve">mean imputation</w:t>
      </w:r>
      <w:r>
        <w:t xml:space="preserve">, where missing values were replaced by the cohort-specific mean for that variable.</w:t>
      </w:r>
    </w:p>
    <w:p>
      <w:pPr>
        <w:pStyle w:val="BodyText"/>
      </w:pPr>
      <w:r>
        <w:t xml:space="preserve">Statistical analysis was performed using Python (v3.11).</w:t>
      </w:r>
      <w:r>
        <w:t xml:space="preserve"> </w:t>
      </w:r>
      <w:r>
        <w:t xml:space="preserve">*</w:t>
      </w:r>
      <w:r>
        <w:t xml:space="preserve"> </w:t>
      </w:r>
      <w:r>
        <w:rPr>
          <w:b/>
          <w:bCs/>
        </w:rPr>
        <w:t xml:space="preserve">Group Comparisons:</w:t>
      </w:r>
      <w:r>
        <w:t xml:space="preserve"> </w:t>
      </w:r>
      <w:r>
        <w:t xml:space="preserve">Differences between fracture and control groups were assessed using independent Student’s</w:t>
      </w:r>
      <w:r>
        <w:t xml:space="preserve"> </w:t>
      </w:r>
      <m:oMath>
        <m:r>
          <m:t>t</m:t>
        </m:r>
      </m:oMath>
      <w:r>
        <w:t xml:space="preserve">-tests or Mann-Whitney U tests based on normality.</w:t>
      </w:r>
      <w:r>
        <w:t xml:space="preserve"> </w:t>
      </w:r>
      <w:r>
        <w:t xml:space="preserve">*</w:t>
      </w:r>
      <w:r>
        <w:t xml:space="preserve"> </w:t>
      </w:r>
      <w:r>
        <w:rPr>
          <w:b/>
          <w:bCs/>
        </w:rPr>
        <w:t xml:space="preserve">Discriminative Performance:</w:t>
      </w:r>
      <w:r>
        <w:t xml:space="preserve"> </w:t>
      </w:r>
      <w:r>
        <w:t xml:space="preserve">Receiver Operating Characteristic (ROC) analysis was used to calculate the Area Under the Curve (AUC).</w:t>
      </w:r>
      <w:r>
        <w:t xml:space="preserve"> </w:t>
      </w:r>
      <w:r>
        <w:t xml:space="preserve">*</w:t>
      </w:r>
      <w:r>
        <w:t xml:space="preserve"> </w:t>
      </w:r>
      <w:r>
        <w:rPr>
          <w:b/>
          <w:bCs/>
        </w:rPr>
        <w:t xml:space="preserve">Effect Sizes:</w:t>
      </w:r>
      <w:r>
        <w:t xml:space="preserve"> </w:t>
      </w:r>
      <w:r>
        <w:t xml:space="preserve">Cohen’s</w:t>
      </w:r>
      <w:r>
        <w:t xml:space="preserve"> </w:t>
      </w:r>
      <m:oMath>
        <m:r>
          <m:t>d</m:t>
        </m:r>
      </m:oMath>
      <w:r>
        <w:t xml:space="preserve"> </w:t>
      </w:r>
      <w:r>
        <w:t xml:space="preserve">was utilized to quantify the magnitude of the structural deficit, where</w:t>
      </w:r>
      <w:r>
        <w:t xml:space="preserve"> </w:t>
      </w:r>
      <m:oMath>
        <m:r>
          <m:t>d</m:t>
        </m:r>
        <m:r>
          <m:rPr>
            <m:sty m:val="p"/>
          </m:rPr>
          <m:t>&gt;</m:t>
        </m:r>
        <m:r>
          <m:t>0.8</m:t>
        </m:r>
      </m:oMath>
      <w:r>
        <w:t xml:space="preserve"> </w:t>
      </w:r>
      <w:r>
        <w:t xml:space="preserve">was considered a large effect.</w:t>
      </w:r>
      <w:r>
        <w:t xml:space="preserve"> </w:t>
      </w:r>
      <w:r>
        <w:t xml:space="preserve">*</w:t>
      </w:r>
      <w:r>
        <w:t xml:space="preserve"> </w:t>
      </w:r>
      <w:r>
        <w:rPr>
          <w:b/>
          <w:bCs/>
        </w:rPr>
        <w:t xml:space="preserve">Power Analysis:</w:t>
      </w:r>
      <w:r>
        <w:t xml:space="preserve"> </w:t>
      </w:r>
      <w:r>
        <w:t xml:space="preserve">Post-hoc analysis confirmed a statistical power of</w:t>
      </w:r>
      <w:r>
        <w:t xml:space="preserve"> </w:t>
      </w:r>
      <w:r>
        <w:rPr>
          <w:b/>
          <w:bCs/>
        </w:rPr>
        <w:t xml:space="preserve">92.3%</w:t>
      </w:r>
      <w:r>
        <w:t xml:space="preserve"> </w:t>
      </w:r>
      <w:r>
        <w:t xml:space="preserve">for the total cohort and</w:t>
      </w:r>
      <w:r>
        <w:t xml:space="preserve"> </w:t>
      </w:r>
      <w:r>
        <w:rPr>
          <w:b/>
          <w:bCs/>
        </w:rPr>
        <w:t xml:space="preserve">97.5%</w:t>
      </w:r>
      <w:r>
        <w:t xml:space="preserve"> </w:t>
      </w:r>
      <w:r>
        <w:t xml:space="preserve">for the osteopenic sub-cohort to detect significant differences in trabecular microarchitecture.</w:t>
      </w:r>
    </w:p>
    <w:bookmarkEnd w:id="29"/>
    <w:bookmarkStart w:id="34" w:name="statistical-analysis"/>
    <w:p>
      <w:pPr>
        <w:pStyle w:val="Heading2"/>
      </w:pPr>
      <w:r>
        <w:t xml:space="preserve">6.1 Statistical Analysis</w:t>
      </w:r>
    </w:p>
    <w:p>
      <w:pPr>
        <w:pStyle w:val="FirstParagraph"/>
      </w:pPr>
      <w:r>
        <w:t xml:space="preserve">Data distribution for all continuous variables—including clinical characteristics, densitometry, and HR-pQCT parameters—was evaluated using Shapiro-Wilk tests, inspection of histograms, and Q-Q plots. Continuous variables are presented as mean</w:t>
      </w:r>
      <w:r>
        <w:t xml:space="preserve"> </w:t>
      </w:r>
      <m:oMath>
        <m:r>
          <m:rPr>
            <m:sty m:val="p"/>
          </m:rPr>
          <m:t>±</m:t>
        </m:r>
      </m:oMath>
      <w:r>
        <w:t xml:space="preserve"> </w:t>
      </w:r>
      <w:r>
        <w:t xml:space="preserve">standard deviation (SD) for normally distributed data or median [interquartile range, IQR] for non-normally distributed data. Categorical variables are expressed as counts and percentages (</w:t>
      </w:r>
      <m:oMath>
        <m:r>
          <m:t>n</m:t>
        </m:r>
        <m:r>
          <m:rPr>
            <m:sty m:val="p"/>
          </m:rPr>
          <m:t>,</m:t>
        </m:r>
        <m:r>
          <m:rPr>
            <m:sty m:val="p"/>
          </m:rPr>
          <m:t>%</m:t>
        </m:r>
      </m:oMath>
      <w:r>
        <w:t xml:space="preserve">).</w:t>
      </w:r>
    </w:p>
    <w:bookmarkStart w:id="30" w:name="baseline-comparisons"/>
    <w:p>
      <w:pPr>
        <w:pStyle w:val="Heading3"/>
      </w:pPr>
      <w:r>
        <w:t xml:space="preserve">6.1.1 Baseline Comparisons</w:t>
      </w:r>
    </w:p>
    <w:p>
      <w:pPr>
        <w:pStyle w:val="FirstParagraph"/>
      </w:pPr>
      <w:r>
        <w:t xml:space="preserve">To address our primary objective, we compared clinical, densitometric, and microarchitectural parameters between the Fracture (Group A) and Non-Fracture Control (Group B) cohorts.</w:t>
      </w:r>
      <w:r>
        <w:t xml:space="preserve"> </w:t>
      </w:r>
      <w:r>
        <w:t xml:space="preserve">*</w:t>
      </w:r>
      <w:r>
        <w:t xml:space="preserve"> </w:t>
      </w:r>
      <w:r>
        <w:rPr>
          <w:b/>
          <w:bCs/>
        </w:rPr>
        <w:t xml:space="preserve">Group Differences:</w:t>
      </w:r>
      <w:r>
        <w:t xml:space="preserve"> </w:t>
      </w:r>
      <w:r>
        <w:t xml:space="preserve">Differences in age, BMI,</w:t>
      </w:r>
      <w:r>
        <w:t xml:space="preserve"> </w:t>
      </w:r>
      <m:oMath>
        <m:r>
          <m:t>a</m:t>
        </m:r>
        <m:r>
          <m:t>B</m:t>
        </m:r>
        <m:r>
          <m:t>M</m:t>
        </m:r>
        <m:r>
          <m:t>D</m:t>
        </m:r>
      </m:oMath>
      <w:r>
        <w:t xml:space="preserve">, and metabolic markers were assessed using the independent samples</w:t>
      </w:r>
      <w:r>
        <w:t xml:space="preserve"> </w:t>
      </w:r>
      <m:oMath>
        <m:r>
          <m:t>t</m:t>
        </m:r>
      </m:oMath>
      <w:r>
        <w:t xml:space="preserve">-test for normally distributed variables and the Mann-Whitney</w:t>
      </w:r>
      <w:r>
        <w:t xml:space="preserve"> </w:t>
      </w:r>
      <m:oMath>
        <m:r>
          <m:t>U</m:t>
        </m:r>
      </m:oMath>
      <w:r>
        <w:t xml:space="preserve">-test for skewed data.</w:t>
      </w:r>
      <w:r>
        <w:t xml:space="preserve"> </w:t>
      </w:r>
      <w:r>
        <w:t xml:space="preserve">*</w:t>
      </w:r>
      <w:r>
        <w:t xml:space="preserve"> </w:t>
      </w:r>
      <w:r>
        <w:rPr>
          <w:b/>
          <w:bCs/>
        </w:rPr>
        <w:t xml:space="preserve">Categorical Differences:</w:t>
      </w:r>
      <w:r>
        <w:t xml:space="preserve"> </w:t>
      </w:r>
      <w:r>
        <w:t xml:space="preserve">Differences in the prevalence of comorbidities (e.g., T2DM status) were evaluated using the Chi-square test (</w:t>
      </w:r>
      <m:oMath>
        <m:sSup>
          <m:e>
            <m:r>
              <m:t>χ</m:t>
            </m:r>
          </m:e>
          <m:sup>
            <m:r>
              <m:t>2</m:t>
            </m:r>
          </m:sup>
        </m:sSup>
      </m:oMath>
      <w:r>
        <w:t xml:space="preserve">).</w:t>
      </w:r>
    </w:p>
    <w:p>
      <w:pPr>
        <w:pStyle w:val="BodyText"/>
      </w:pPr>
      <w:r>
        <w:t xml:space="preserve">This analysis was performed systematically across the four pre-specified study cohorts:</w:t>
      </w:r>
      <w:r>
        <w:t xml:space="preserve"> </w:t>
      </w:r>
      <w:r>
        <w:t xml:space="preserve">1.</w:t>
      </w:r>
      <w:r>
        <w:t xml:space="preserve"> </w:t>
      </w:r>
      <w:r>
        <w:rPr>
          <w:b/>
          <w:bCs/>
        </w:rPr>
        <w:t xml:space="preserve">Total Cohort (</w:t>
      </w:r>
      <m:oMath>
        <m:r>
          <m:t>N</m:t>
        </m:r>
        <m:r>
          <m:rPr>
            <m:sty m:val="p"/>
          </m:rPr>
          <m:t>=</m:t>
        </m:r>
        <m:r>
          <m:t>215</m:t>
        </m:r>
      </m:oMath>
      <w:r>
        <w:rPr>
          <w:b/>
          <w:bCs/>
        </w:rPr>
        <w:t xml:space="preserve">)</w:t>
      </w:r>
      <w:r>
        <w:t xml:space="preserve"> </w:t>
      </w:r>
      <w:r>
        <w:t xml:space="preserve">2.</w:t>
      </w:r>
      <w:r>
        <w:t xml:space="preserve"> </w:t>
      </w:r>
      <w:r>
        <w:rPr>
          <w:b/>
          <w:bCs/>
        </w:rPr>
        <w:t xml:space="preserve">Primary Osteopenia Sub-cohort (</w:t>
      </w:r>
      <m:oMath>
        <m:r>
          <m:t>n</m:t>
        </m:r>
        <m:r>
          <m:rPr>
            <m:sty m:val="p"/>
          </m:rPr>
          <m:t>=</m:t>
        </m:r>
        <m:r>
          <m:t>91</m:t>
        </m:r>
      </m:oMath>
      <w:r>
        <w:rPr>
          <w:b/>
          <w:bCs/>
        </w:rPr>
        <w:t xml:space="preserve">)</w:t>
      </w:r>
      <w:r>
        <w:t xml:space="preserve"> </w:t>
      </w:r>
      <w:r>
        <w:t xml:space="preserve">3.</w:t>
      </w:r>
      <w:r>
        <w:t xml:space="preserve"> </w:t>
      </w:r>
      <w:r>
        <w:rPr>
          <w:b/>
          <w:bCs/>
        </w:rPr>
        <w:t xml:space="preserve">Total Diabetic Cohort (</w:t>
      </w:r>
      <m:oMath>
        <m:r>
          <m:t>N</m:t>
        </m:r>
        <m:r>
          <m:rPr>
            <m:sty m:val="p"/>
          </m:rPr>
          <m:t>=</m:t>
        </m:r>
        <m:r>
          <m:t>140</m:t>
        </m:r>
      </m:oMath>
      <w:r>
        <w:rPr>
          <w:b/>
          <w:bCs/>
        </w:rPr>
        <w:t xml:space="preserve">)</w:t>
      </w:r>
      <w:r>
        <w:t xml:space="preserve"> </w:t>
      </w:r>
      <w:r>
        <w:t xml:space="preserve">4.</w:t>
      </w:r>
      <w:r>
        <w:t xml:space="preserve"> </w:t>
      </w:r>
      <w:r>
        <w:rPr>
          <w:b/>
          <w:bCs/>
        </w:rPr>
        <w:t xml:space="preserve">Diabetic Osteopenia Sub-cohort (</w:t>
      </w:r>
      <m:oMath>
        <m:r>
          <m:t>n</m:t>
        </m:r>
        <m:r>
          <m:rPr>
            <m:sty m:val="p"/>
          </m:rPr>
          <m:t>=</m:t>
        </m:r>
        <m:r>
          <m:t>66</m:t>
        </m:r>
      </m:oMath>
      <w:r>
        <w:rPr>
          <w:b/>
          <w:bCs/>
        </w:rPr>
        <w:t xml:space="preserve">)</w:t>
      </w:r>
    </w:p>
    <w:bookmarkEnd w:id="30"/>
    <w:bookmarkStart w:id="31" w:name="Xd747cfa5022ee0e83e7e1c182d3b83d3954863e"/>
    <w:p>
      <w:pPr>
        <w:pStyle w:val="Heading3"/>
      </w:pPr>
      <w:r>
        <w:t xml:space="preserve">6.1.2 Multivariable Modeling and Risk Stratification</w:t>
      </w:r>
    </w:p>
    <w:p>
      <w:pPr>
        <w:pStyle w:val="FirstParagraph"/>
      </w:pPr>
      <w:r>
        <w:t xml:space="preserve">To determine the independent contribution of bone microarchitecture to fracture risk, we utilized multivariable logistic regression models.</w:t>
      </w:r>
      <w:r>
        <w:t xml:space="preserve"> </w:t>
      </w:r>
      <w:r>
        <w:t xml:space="preserve">*</w:t>
      </w:r>
      <w:r>
        <w:t xml:space="preserve"> </w:t>
      </w:r>
      <w:r>
        <w:rPr>
          <w:b/>
          <w:bCs/>
        </w:rPr>
        <w:t xml:space="preserve">Model 1:</w:t>
      </w:r>
      <w:r>
        <w:t xml:space="preserve"> </w:t>
      </w:r>
      <w:r>
        <w:t xml:space="preserve">Adjusted for Age.</w:t>
      </w:r>
      <w:r>
        <w:t xml:space="preserve"> </w:t>
      </w:r>
      <w:r>
        <w:t xml:space="preserve">*</w:t>
      </w:r>
      <w:r>
        <w:t xml:space="preserve"> </w:t>
      </w:r>
      <w:r>
        <w:rPr>
          <w:b/>
          <w:bCs/>
        </w:rPr>
        <w:t xml:space="preserve">Model 2:</w:t>
      </w:r>
      <w:r>
        <w:t xml:space="preserve"> </w:t>
      </w:r>
      <w:r>
        <w:t xml:space="preserve">Adjusted for Age and BMI.</w:t>
      </w:r>
      <w:r>
        <w:t xml:space="preserve"> </w:t>
      </w:r>
      <w:r>
        <w:t xml:space="preserve">*</w:t>
      </w:r>
      <w:r>
        <w:t xml:space="preserve"> </w:t>
      </w:r>
      <w:r>
        <w:rPr>
          <w:b/>
          <w:bCs/>
        </w:rPr>
        <w:t xml:space="preserve">Model 3 (The Structural Independence Model):</w:t>
      </w:r>
      <w:r>
        <w:t xml:space="preserve"> </w:t>
      </w:r>
      <w:r>
        <w:t xml:space="preserve">Adjusted for Age, BMI, and Total Hip</w:t>
      </w:r>
      <w:r>
        <w:t xml:space="preserve"> </w:t>
      </w:r>
      <m:oMath>
        <m:r>
          <m:t>a</m:t>
        </m:r>
        <m:r>
          <m:t>B</m:t>
        </m:r>
        <m:r>
          <m:t>M</m:t>
        </m:r>
        <m:r>
          <m:t>D</m:t>
        </m:r>
      </m:oMath>
      <w:r>
        <w:t xml:space="preserve">.</w:t>
      </w:r>
    </w:p>
    <w:p>
      <w:pPr>
        <w:pStyle w:val="BodyText"/>
      </w:pPr>
      <w:r>
        <w:t xml:space="preserve">Odds Ratios (OR) with</w:t>
      </w:r>
      <w:r>
        <w:t xml:space="preserve"> </w:t>
      </w:r>
      <m:oMath>
        <m:r>
          <m:t>95</m:t>
        </m:r>
        <m:r>
          <m:rPr>
            <m:sty m:val="p"/>
          </m:rPr>
          <m:t>%</m:t>
        </m:r>
      </m:oMath>
      <w:r>
        <w:t xml:space="preserve"> </w:t>
      </w:r>
      <w:r>
        <w:t xml:space="preserve">Confidence Intervals (CI) were calculated per one standard deviation (SD) decrease in volumetric density, trabecular parameters, and stiffness/failure load (or per 1-SD increase for Cortical Porosity). Area Under the Curve (AUC) analysis was performed to compare the discriminative ability of the structural model (HR-pQCT) versus the standard clinical model (DXA).</w:t>
      </w:r>
    </w:p>
    <w:bookmarkEnd w:id="31"/>
    <w:bookmarkStart w:id="33" w:name="adjustment-for-multiple-comparisons"/>
    <w:p>
      <w:pPr>
        <w:pStyle w:val="Heading3"/>
      </w:pPr>
      <w:r>
        <w:t xml:space="preserve">6.1.3 Adjustment for Multiple Comparisons</w:t>
      </w:r>
    </w:p>
    <w:p>
      <w:pPr>
        <w:pStyle w:val="FirstParagraph"/>
      </w:pPr>
      <w:r>
        <w:t xml:space="preserve">As this is the first study exploring the distinct</w:t>
      </w:r>
      <w:r>
        <w:t xml:space="preserve"> </w:t>
      </w:r>
      <w:r>
        <w:t xml:space="preserve">“Trabecular”</w:t>
      </w:r>
      <w:r>
        <w:t xml:space="preserve"> </w:t>
      </w:r>
      <w:r>
        <w:t xml:space="preserve">vs. </w:t>
      </w:r>
      <w:r>
        <w:t xml:space="preserve">“Cortical”</w:t>
      </w:r>
      <w:r>
        <w:t xml:space="preserve"> </w:t>
      </w:r>
      <w:r>
        <w:t xml:space="preserve">failure modes in Indian postmenopausal women with osteopenia, our purpose includes both hypothesis testing (for primary outcomes:</w:t>
      </w:r>
      <w:r>
        <w:t xml:space="preserve"> </w:t>
      </w:r>
      <m:oMath>
        <m:r>
          <m:t>T</m:t>
        </m:r>
        <m:r>
          <m:t>b</m:t>
        </m:r>
        <m:r>
          <m:rPr>
            <m:sty m:val="p"/>
          </m:rPr>
          <m:t>.</m:t>
        </m:r>
        <m:r>
          <m:t>N</m:t>
        </m:r>
      </m:oMath>
      <w:r>
        <w:t xml:space="preserve">,</w:t>
      </w:r>
      <w:r>
        <w:t xml:space="preserve"> </w:t>
      </w:r>
      <m:oMath>
        <m:r>
          <m:t>F</m:t>
        </m:r>
        <m:r>
          <m:rPr>
            <m:sty m:val="p"/>
          </m:rPr>
          <m:t>.</m:t>
        </m:r>
        <m:r>
          <m:t>L</m:t>
        </m:r>
        <m:r>
          <m:t>o</m:t>
        </m:r>
        <m:r>
          <m:t>a</m:t>
        </m:r>
        <m:r>
          <m:t>d</m:t>
        </m:r>
      </m:oMath>
      <w:r>
        <w:t xml:space="preserve">) and hypothesis generation (for secondary cortical indices). In this context, we interpreted findings based on biological plausibility and consistency across effective stress/strain models rather than applying a rigid Bonferroni correction, which risks obscuring clinically relevant signals in correlated physiological data.</w:t>
      </w:r>
    </w:p>
    <w:p>
      <w:pPr>
        <w:pStyle w:val="BodyText"/>
      </w:pPr>
      <w:r>
        <w:t xml:space="preserve">All statistical tests were two-tailed, and a</w:t>
      </w:r>
      <w:r>
        <w:t xml:space="preserve"> </w:t>
      </w:r>
      <m:oMath>
        <m:r>
          <m:t>p</m:t>
        </m:r>
      </m:oMath>
      <w:r>
        <w:t xml:space="preserve">-value</w:t>
      </w:r>
      <w:r>
        <w:t xml:space="preserve"> </w:t>
      </w:r>
      <m:oMath>
        <m:r>
          <m:rPr>
            <m:sty m:val="p"/>
          </m:rPr>
          <m:t>&lt;</m:t>
        </m:r>
        <m:r>
          <m:t>0.05</m:t>
        </m:r>
      </m:oMath>
      <w:r>
        <w:t xml:space="preserve"> </w:t>
      </w:r>
      <w:r>
        <w:t xml:space="preserve">was considered statistically significant. Statistical analysis was performed using Python (v3.11) with the</w:t>
      </w:r>
      <w:r>
        <w:t xml:space="preserve"> </w:t>
      </w:r>
      <w:r>
        <w:rPr>
          <w:rStyle w:val="VerbatimChar"/>
        </w:rPr>
        <w:t xml:space="preserve">scipy.stats</w:t>
      </w:r>
      <w:r>
        <w:t xml:space="preserve"> </w:t>
      </w:r>
      <w:r>
        <w:t xml:space="preserve">and</w:t>
      </w:r>
      <w:r>
        <w:t xml:space="preserve"> </w:t>
      </w:r>
      <w:r>
        <w:rPr>
          <w:rStyle w:val="VerbatimChar"/>
        </w:rPr>
        <w:t xml:space="preserve">statsmodels</w:t>
      </w:r>
      <w:r>
        <w:t xml:space="preserve"> </w:t>
      </w:r>
      <w:r>
        <w:t xml:space="preserve">libraries.</w:t>
      </w:r>
    </w:p>
    <w:tbl>
      <w:tblPr>
        <w:tblStyle w:val="Table"/>
        <w:tblW w:type="pct" w:w="5000"/>
        <w:tblLayout w:type="fixed"/>
        <w:tblLook w:firstRow="0" w:lastRow="0" w:firstColumn="0" w:lastColumn="0" w:noHBand="0" w:noVBand="0" w:val="0000"/>
      </w:tblPr>
      <w:tblGrid>
        <w:gridCol w:w="7920"/>
      </w:tblGrid>
      <w:tr>
        <w:tc>
          <w:tcPr/>
          <w:bookmarkStart w:id="32" w:name="fig-consort"/>
          <w:p>
            <w:pPr>
              <w:pStyle w:val="Compact"/>
              <w:jc w:val="center"/>
            </w:pPr>
          </w:p>
          <w:p>
            <w:pPr>
              <w:jc w:val="center"/>
            </w:pPr>
            <w:pPr>
              <w:jc w:val="left"/>
              <w:spacing w:before="200"/>
              <w:pStyle w:val="ImageCaption"/>
            </w:pPr>
            <w:r>
              <w:t xml:space="preserve">Figure 1:</w:t>
            </w:r>
            <w:r>
              <w:t xml:space="preserve"> </w:t>
            </w:r>
            <w:r>
              <w:rPr>
                <w:b/>
                <w:bCs/>
              </w:rPr>
              <w:t xml:space="preserve">Study Consort Diagram.</w:t>
            </w:r>
            <w:r>
              <w:t xml:space="preserve"> </w:t>
            </w:r>
            <w:r>
              <w:t xml:space="preserve">Flowchart illustrating recruitment, exclusion criteria, and final grouping for the total cohort (</w:t>
            </w:r>
            <m:oMath>
              <m:r>
                <m:t>N</m:t>
              </m:r>
              <m:r>
                <m:rPr>
                  <m:sty m:val="p"/>
                </m:rPr>
                <m:t>=</m:t>
              </m:r>
              <m:r>
                <m:t>215</m:t>
              </m:r>
            </m:oMath>
            <w:r>
              <w:t xml:space="preserve">) and the osteopenic grey-zone sub-cohorts.</w:t>
            </w:r>
          </w:p>
          <w:bookmarkEnd w:id="32"/>
        </w:tc>
      </w:tr>
    </w:tbl>
    <w:bookmarkEnd w:id="33"/>
    <w:bookmarkEnd w:id="34"/>
    <w:bookmarkStart w:id="35" w:name="X05b1e7383315a6703d9bc0997da5c0cb22d8809"/>
    <w:p>
      <w:pPr>
        <w:pStyle w:val="Heading2"/>
      </w:pPr>
      <w:r>
        <w:t xml:space="preserve">6.2 Clinical and Pathophysiological Framework</w:t>
      </w:r>
    </w:p>
    <w:bookmarkEnd w:id="35"/>
    <w:bookmarkStart w:id="39" w:name="X22a5c48f8855345ea2ceed8ae583d9aaa704172"/>
    <w:p>
      <w:pPr>
        <w:pStyle w:val="Heading2"/>
      </w:pPr>
      <w:r>
        <w:t xml:space="preserve">6.3 Clinical and Pathophysiological Framework</w:t>
      </w:r>
    </w:p>
    <w:p>
      <w:pPr>
        <w:pStyle w:val="FirstParagraph"/>
      </w:pPr>
      <w:r>
        <w:t xml:space="preserve">To evaluate the determinants of skeletal fragility in the diagnostic</w:t>
      </w:r>
      <w:r>
        <w:t xml:space="preserve"> </w:t>
      </w:r>
      <w:r>
        <w:t xml:space="preserve">“grey zone,”</w:t>
      </w:r>
      <w:r>
        <w:t xml:space="preserve"> </w:t>
      </w:r>
      <w:r>
        <w:t xml:space="preserve">we categorized clinical and imaging variables based on their established biological impact on bone remodeling and structural integrity.</w:t>
      </w:r>
    </w:p>
    <w:bookmarkStart w:id="36" w:name="X9c8af9077716b0a8a3a8452aed5a1676bb0081e"/>
    <w:p>
      <w:pPr>
        <w:pStyle w:val="Heading3"/>
      </w:pPr>
      <w:r>
        <w:t xml:space="preserve">6.3.1 Clinical Confounders and Metabolic Drivers</w:t>
      </w:r>
    </w:p>
    <w:p>
      <w:pPr>
        <w:pStyle w:val="FirstParagraph"/>
      </w:pPr>
      <w:r>
        <w:t xml:space="preserve">Systemic metabolic environments significantly influence bone turnover rates and material quality, often independent of areal bone mineral density (</w:t>
      </w:r>
      <m:oMath>
        <m:r>
          <m:t>a</m:t>
        </m:r>
        <m:r>
          <m:t>B</m:t>
        </m:r>
        <m:r>
          <m:t>M</m:t>
        </m:r>
        <m:r>
          <m:t>D</m:t>
        </m:r>
      </m:oMath>
      <w:r>
        <w:t xml:space="preserve">).</w:t>
      </w:r>
    </w:p>
    <w:p>
      <w:pPr>
        <w:numPr>
          <w:ilvl w:val="0"/>
          <w:numId w:val="1003"/>
        </w:numPr>
      </w:pPr>
      <w:r>
        <w:rPr>
          <w:b/>
          <w:bCs/>
        </w:rPr>
        <w:t xml:space="preserve">Type 2 Diabetes Mellitus (T2DM):</w:t>
      </w:r>
      <w:r>
        <w:t xml:space="preserve"> </w:t>
      </w:r>
      <w:r>
        <w:t xml:space="preserve">Following the</w:t>
      </w:r>
      <w:r>
        <w:t xml:space="preserve"> </w:t>
      </w:r>
      <w:r>
        <w:t xml:space="preserve">“Diabetic Paradox,”</w:t>
      </w:r>
      <w:r>
        <w:t xml:space="preserve"> </w:t>
      </w:r>
      <w:r>
        <w:t xml:space="preserve">hyperglycemia leads to the non-enzymatic glycation of the collagen matrix and the accumulation of Advanced Glycation End-products (AGEs). This process induces skeletal brittleness despite</w:t>
      </w:r>
      <w:r>
        <w:t xml:space="preserve"> </w:t>
      </w:r>
      <w:r>
        <w:t xml:space="preserve">“normal”</w:t>
      </w:r>
      <w:r>
        <w:t xml:space="preserve"> </w:t>
      </w:r>
      <w:r>
        <w:t xml:space="preserve">densitometric values, primarily by driving intracortical remodeling and increasing</w:t>
      </w:r>
      <w:r>
        <w:t xml:space="preserve"> </w:t>
      </w:r>
      <w:r>
        <w:rPr>
          <w:b/>
          <w:bCs/>
        </w:rPr>
        <w:t xml:space="preserve">Cortical Porosity (</w:t>
      </w:r>
      <m:oMath>
        <m:r>
          <m:t>C</m:t>
        </m:r>
        <m:r>
          <m:t>t</m:t>
        </m:r>
        <m:r>
          <m:rPr>
            <m:sty m:val="p"/>
          </m:rPr>
          <m:t>.</m:t>
        </m:r>
        <m:r>
          <m:t>P</m:t>
        </m:r>
        <m:r>
          <m:t>o</m:t>
        </m:r>
      </m:oMath>
      <w:r>
        <w:rPr>
          <w:b/>
          <w:bCs/>
        </w:rPr>
        <w:t xml:space="preserve">)</w:t>
      </w:r>
      <w:r>
        <w:t xml:space="preserve">.</w:t>
      </w:r>
    </w:p>
    <w:p>
      <w:pPr>
        <w:numPr>
          <w:ilvl w:val="0"/>
          <w:numId w:val="1003"/>
        </w:numPr>
      </w:pPr>
      <w:r>
        <w:rPr>
          <w:b/>
          <w:bCs/>
        </w:rPr>
        <w:t xml:space="preserve">Glucocorticoid Therapy and Rheumatoid Arthritis (RA):</w:t>
      </w:r>
      <w:r>
        <w:t xml:space="preserve"> </w:t>
      </w:r>
      <w:r>
        <w:t xml:space="preserve">These factors act as potent inhibitors of osteoblastogenesis while simultaneously stimulating osteoclast-mediated resorption. The primary structural consequence is rapid</w:t>
      </w:r>
      <w:r>
        <w:t xml:space="preserve"> </w:t>
      </w:r>
      <w:r>
        <w:rPr>
          <w:b/>
          <w:bCs/>
        </w:rPr>
        <w:t xml:space="preserve">Trabecular Dropout</w:t>
      </w:r>
      <w:r>
        <w:t xml:space="preserve"> </w:t>
      </w:r>
      <w:r>
        <w:t xml:space="preserve">(reduced</w:t>
      </w:r>
      <w:r>
        <w:t xml:space="preserve"> </w:t>
      </w:r>
      <m:oMath>
        <m:r>
          <m:t>T</m:t>
        </m:r>
        <m:r>
          <m:t>b</m:t>
        </m:r>
        <m:r>
          <m:rPr>
            <m:sty m:val="p"/>
          </m:rPr>
          <m:t>.</m:t>
        </m:r>
        <m:r>
          <m:t>N</m:t>
        </m:r>
      </m:oMath>
      <w:r>
        <w:t xml:space="preserve">) and excessive thinning of the cortical shell.</w:t>
      </w:r>
    </w:p>
    <w:p>
      <w:pPr>
        <w:numPr>
          <w:ilvl w:val="0"/>
          <w:numId w:val="1003"/>
        </w:numPr>
      </w:pPr>
      <w:r>
        <w:rPr>
          <w:b/>
          <w:bCs/>
        </w:rPr>
        <w:t xml:space="preserve">Thyroid Medication:</w:t>
      </w:r>
      <w:r>
        <w:t xml:space="preserve"> </w:t>
      </w:r>
      <w:r>
        <w:t xml:space="preserve">Supra-physiological levels of thyroxine accelerate the bone remodeling cycle. This results in</w:t>
      </w:r>
      <w:r>
        <w:t xml:space="preserve"> </w:t>
      </w:r>
      <w:r>
        <w:t xml:space="preserve">“young,”</w:t>
      </w:r>
      <w:r>
        <w:t xml:space="preserve"> </w:t>
      </w:r>
      <w:r>
        <w:t xml:space="preserve">under-mineralized bone that possesses reduced secondary mineralization, rendering the microarchitecture more susceptible to micro-damage accumulation.</w:t>
      </w:r>
    </w:p>
    <w:p>
      <w:pPr>
        <w:numPr>
          <w:ilvl w:val="0"/>
          <w:numId w:val="1003"/>
        </w:numPr>
      </w:pPr>
      <w:r>
        <w:rPr>
          <w:b/>
          <w:bCs/>
        </w:rPr>
        <w:t xml:space="preserve">Body Mass Index (BMI):</w:t>
      </w:r>
      <w:r>
        <w:t xml:space="preserve"> </w:t>
      </w:r>
      <w:r>
        <w:t xml:space="preserve">While increased mechanical loading is traditionally viewed as protective, in the context of T2DM and aging, higher BMI may correlate with increased marrow adiposity and impaired bone quality, confounding standard risk assessments.</w:t>
      </w:r>
    </w:p>
    <w:bookmarkEnd w:id="36"/>
    <w:bookmarkStart w:id="37" w:name="X8e2e80bd3cb6c807879efb3fda33075f9898430"/>
    <w:p>
      <w:pPr>
        <w:pStyle w:val="Heading3"/>
      </w:pPr>
      <w:r>
        <w:t xml:space="preserve">6.3.2 Microarchitectural Parameters: The</w:t>
      </w:r>
      <w:r>
        <w:t xml:space="preserve"> </w:t>
      </w:r>
      <w:r>
        <w:t xml:space="preserve">“Root Cause”</w:t>
      </w:r>
    </w:p>
    <w:p>
      <w:pPr>
        <w:pStyle w:val="FirstParagraph"/>
      </w:pPr>
      <w:r>
        <w:t xml:space="preserve">HR-pQCT provides a direct resolution of the structural decay that remains invisible to standard two-dimensional DXA.</w:t>
      </w:r>
    </w:p>
    <w:p>
      <w:pPr>
        <w:numPr>
          <w:ilvl w:val="0"/>
          <w:numId w:val="1004"/>
        </w:numPr>
      </w:pPr>
      <w:r>
        <w:rPr>
          <w:b/>
          <w:bCs/>
        </w:rPr>
        <w:t xml:space="preserve">Trabecular Number (</w:t>
      </w:r>
      <m:oMath>
        <m:r>
          <m:t>T</m:t>
        </m:r>
        <m:r>
          <m:t>b</m:t>
        </m:r>
        <m:r>
          <m:rPr>
            <m:sty m:val="p"/>
          </m:rPr>
          <m:t>.</m:t>
        </m:r>
        <m:r>
          <m:t>N</m:t>
        </m:r>
      </m:oMath>
      <w:r>
        <w:rPr>
          <w:b/>
          <w:bCs/>
        </w:rPr>
        <w:t xml:space="preserve">) and Spacing (</w:t>
      </w:r>
      <m:oMath>
        <m:r>
          <m:t>T</m:t>
        </m:r>
        <m:r>
          <m:t>b</m:t>
        </m:r>
        <m:r>
          <m:rPr>
            <m:sty m:val="p"/>
          </m:rPr>
          <m:t>.</m:t>
        </m:r>
        <m:r>
          <m:t>S</m:t>
        </m:r>
        <m:r>
          <m:t>p</m:t>
        </m:r>
      </m:oMath>
      <w:r>
        <w:rPr>
          <w:b/>
          <w:bCs/>
        </w:rPr>
        <w:t xml:space="preserve">):</w:t>
      </w:r>
      <w:r>
        <w:t xml:space="preserve"> </w:t>
      </w:r>
      <w:r>
        <w:t xml:space="preserve">In the osteopenic grey zone, the loss of trabecular connectivity is catastrophic. From a first-principles perspective, a reduction in</w:t>
      </w:r>
      <w:r>
        <w:t xml:space="preserve"> </w:t>
      </w:r>
      <m:oMath>
        <m:r>
          <m:t>T</m:t>
        </m:r>
        <m:r>
          <m:t>b</m:t>
        </m:r>
        <m:r>
          <m:rPr>
            <m:sty m:val="p"/>
          </m:rPr>
          <m:t>.</m:t>
        </m:r>
        <m:r>
          <m:t>N</m:t>
        </m:r>
      </m:oMath>
      <w:r>
        <w:t xml:space="preserve"> </w:t>
      </w:r>
      <w:r>
        <w:t xml:space="preserve">represents a loss of critical horizontal</w:t>
      </w:r>
      <w:r>
        <w:t xml:space="preserve"> </w:t>
      </w:r>
      <w:r>
        <w:t xml:space="preserve">“tie-beams,”</w:t>
      </w:r>
      <w:r>
        <w:t xml:space="preserve"> </w:t>
      </w:r>
      <w:r>
        <w:t xml:space="preserve">leading to an exponential decrease in buckling resistance under load.</w:t>
      </w:r>
    </w:p>
    <w:p>
      <w:pPr>
        <w:numPr>
          <w:ilvl w:val="0"/>
          <w:numId w:val="1004"/>
        </w:numPr>
      </w:pPr>
      <w:r>
        <w:rPr>
          <w:b/>
          <w:bCs/>
        </w:rPr>
        <w:t xml:space="preserve">Cortical Porosity (</w:t>
      </w:r>
      <m:oMath>
        <m:r>
          <m:t>C</m:t>
        </m:r>
        <m:r>
          <m:t>t</m:t>
        </m:r>
        <m:r>
          <m:rPr>
            <m:sty m:val="p"/>
          </m:rPr>
          <m:t>.</m:t>
        </m:r>
        <m:r>
          <m:t>P</m:t>
        </m:r>
        <m:r>
          <m:t>o</m:t>
        </m:r>
      </m:oMath>
      <w:r>
        <w:rPr>
          <w:b/>
          <w:bCs/>
        </w:rPr>
        <w:t xml:space="preserve">):</w:t>
      </w:r>
      <w:r>
        <w:t xml:space="preserve"> </w:t>
      </w:r>
      <w:r>
        <w:t xml:space="preserve">Often referred to as the</w:t>
      </w:r>
      <w:r>
        <w:t xml:space="preserve"> </w:t>
      </w:r>
      <w:r>
        <w:t xml:space="preserve">“Swiss Cheese”</w:t>
      </w:r>
      <w:r>
        <w:t xml:space="preserve"> </w:t>
      </w:r>
      <w:r>
        <w:t xml:space="preserve">effect, increased intracortical pores act as stress risers. Even a marginal increase in porosity significantly compromises the cortical envelope’s ability to resist bending and torsional forces.</w:t>
      </w:r>
    </w:p>
    <w:p>
      <w:pPr>
        <w:numPr>
          <w:ilvl w:val="0"/>
          <w:numId w:val="1004"/>
        </w:numPr>
      </w:pPr>
      <w:r>
        <w:rPr>
          <w:b/>
          <w:bCs/>
        </w:rPr>
        <w:t xml:space="preserve">Trabecular Bone Score (TBS):</w:t>
      </w:r>
      <w:r>
        <w:t xml:space="preserve"> </w:t>
      </w:r>
      <w:r>
        <w:t xml:space="preserve">While utilized as a clinical proxy for microarchitecture, the inherent limitations of DXA-derived texture indices are addressed by the direct volumetric assessment of trabecular density and connectivity provided by HR-pQCT.</w:t>
      </w:r>
    </w:p>
    <w:bookmarkEnd w:id="37"/>
    <w:bookmarkStart w:id="38" w:name="biomechanical-competence-mufea"/>
    <w:p>
      <w:pPr>
        <w:pStyle w:val="Heading3"/>
      </w:pPr>
      <w:r>
        <w:t xml:space="preserve">6.3.3 Biomechanical Competence (</w:t>
      </w:r>
      <m:oMath>
        <m:r>
          <m:t>μ</m:t>
        </m:r>
      </m:oMath>
      <w:r>
        <w:t xml:space="preserve">FEA)</w:t>
      </w:r>
    </w:p>
    <w:p>
      <w:pPr>
        <w:pStyle w:val="FirstParagraph"/>
      </w:pPr>
      <w:r>
        <w:t xml:space="preserve">The ultimate functional output of the skeletal structure was estimated via linear micro-Finite Element Analysis (</w:t>
      </w:r>
      <m:oMath>
        <m:r>
          <m:t>μ</m:t>
        </m:r>
      </m:oMath>
      <w:r>
        <w:t xml:space="preserve">FEA).</w:t>
      </w:r>
    </w:p>
    <w:p>
      <w:pPr>
        <w:pStyle w:val="Compact"/>
        <w:numPr>
          <w:ilvl w:val="0"/>
          <w:numId w:val="1005"/>
        </w:numPr>
      </w:pPr>
      <w:r>
        <w:rPr>
          <w:b/>
          <w:bCs/>
        </w:rPr>
        <w:t xml:space="preserve">Stiffness and Failure Load (</w:t>
      </w:r>
      <m:oMath>
        <m:r>
          <m:t>F</m:t>
        </m:r>
        <m:r>
          <m:rPr>
            <m:sty m:val="p"/>
          </m:rPr>
          <m:t>.</m:t>
        </m:r>
        <m:r>
          <m:t>L</m:t>
        </m:r>
        <m:r>
          <m:t>o</m:t>
        </m:r>
        <m:r>
          <m:t>a</m:t>
        </m:r>
        <m:r>
          <m:t>d</m:t>
        </m:r>
      </m:oMath>
      <w:r>
        <w:rPr>
          <w:b/>
          <w:bCs/>
        </w:rPr>
        <w:t xml:space="preserve">):</w:t>
      </w:r>
      <w:r>
        <w:t xml:space="preserve"> </w:t>
      </w:r>
      <w:r>
        <w:t xml:space="preserve">These variables act as the</w:t>
      </w:r>
      <w:r>
        <w:t xml:space="preserve"> </w:t>
      </w:r>
      <w:r>
        <w:rPr>
          <w:b/>
          <w:bCs/>
        </w:rPr>
        <w:t xml:space="preserve">Functional Anchor</w:t>
      </w:r>
      <w:r>
        <w:t xml:space="preserve"> </w:t>
      </w:r>
      <w:r>
        <w:t xml:space="preserve">of our study. By integrating volumetric density and microarchitectural geometry,</w:t>
      </w:r>
      <w:r>
        <w:t xml:space="preserve"> </w:t>
      </w:r>
      <m:oMath>
        <m:r>
          <m:t>F</m:t>
        </m:r>
        <m:r>
          <m:rPr>
            <m:sty m:val="p"/>
          </m:rPr>
          <m:t>.</m:t>
        </m:r>
        <m:r>
          <m:t>L</m:t>
        </m:r>
        <m:r>
          <m:t>o</m:t>
        </m:r>
        <m:r>
          <m:t>a</m:t>
        </m:r>
        <m:r>
          <m:t>d</m:t>
        </m:r>
      </m:oMath>
      <w:r>
        <w:t xml:space="preserve"> </w:t>
      </w:r>
      <w:r>
        <w:t xml:space="preserve">quantifies the structural</w:t>
      </w:r>
      <w:r>
        <w:t xml:space="preserve"> </w:t>
      </w:r>
      <w:r>
        <w:t xml:space="preserve">“tipping point.”</w:t>
      </w:r>
      <w:r>
        <w:t xml:space="preserve"> </w:t>
      </w:r>
      <w:r>
        <w:t xml:space="preserve">If</w:t>
      </w:r>
      <w:r>
        <w:t xml:space="preserve"> </w:t>
      </w:r>
      <m:oMath>
        <m:r>
          <m:t>F</m:t>
        </m:r>
        <m:r>
          <m:rPr>
            <m:sty m:val="p"/>
          </m:rPr>
          <m:t>.</m:t>
        </m:r>
        <m:r>
          <m:t>L</m:t>
        </m:r>
        <m:r>
          <m:t>o</m:t>
        </m:r>
        <m:r>
          <m:t>a</m:t>
        </m:r>
        <m:r>
          <m:t>d</m:t>
        </m:r>
      </m:oMath>
      <w:r>
        <w:t xml:space="preserve"> </w:t>
      </w:r>
      <w:r>
        <w:t xml:space="preserve">is low despite an osteopenic</w:t>
      </w:r>
      <w:r>
        <w:t xml:space="preserve"> </w:t>
      </w:r>
      <m:oMath>
        <m:r>
          <m:t>T</m:t>
        </m:r>
      </m:oMath>
      <w:r>
        <w:t xml:space="preserve">-score, the bone has reached a biological failure threshold, providing a functional justification for pharmacological intervention.</w:t>
      </w:r>
    </w:p>
    <w:bookmarkEnd w:id="38"/>
    <w:bookmarkEnd w:id="39"/>
    <w:bookmarkStart w:id="40" w:name="statistical-analysis-1"/>
    <w:p>
      <w:pPr>
        <w:pStyle w:val="Heading2"/>
      </w:pPr>
      <w:r>
        <w:t xml:space="preserve">6.4 Statistical Analysis</w:t>
      </w:r>
    </w:p>
    <w:bookmarkEnd w:id="40"/>
    <w:bookmarkStart w:id="41" w:name="statistical-analysis-2"/>
    <w:p>
      <w:pPr>
        <w:pStyle w:val="Heading2"/>
      </w:pPr>
      <w:r>
        <w:t xml:space="preserve">6.5 Statistical Analysis</w:t>
      </w:r>
    </w:p>
    <w:p>
      <w:pPr>
        <w:pStyle w:val="FirstParagraph"/>
      </w:pPr>
      <w:r>
        <w:t xml:space="preserve">Data were analyzed using Python (v3.11). Group differences were assessed via Student’s t-test or Mann-Whitney U-test. To verify the independent value of HR-pQCT, multivariable logistic regression models were constructed, adjusting for Age, BMI, and Total Hip</w:t>
      </w:r>
      <w:r>
        <w:t xml:space="preserve"> </w:t>
      </w:r>
      <m:oMath>
        <m:r>
          <m:t>a</m:t>
        </m:r>
        <m:r>
          <m:t>B</m:t>
        </m:r>
        <m:r>
          <m:t>M</m:t>
        </m:r>
        <m:r>
          <m:t>D</m:t>
        </m:r>
      </m:oMath>
      <w:r>
        <w:t xml:space="preserve">. Adjusted Odds Ratios (aOR) are reported per 1-SD change.</w:t>
      </w:r>
    </w:p>
    <w:bookmarkEnd w:id="41"/>
    <w:bookmarkEnd w:id="42"/>
    <w:bookmarkStart w:id="56" w:name="results"/>
    <w:p>
      <w:pPr>
        <w:pStyle w:val="Heading1"/>
      </w:pPr>
      <w:r>
        <w:t xml:space="preserve">7. Results</w:t>
      </w:r>
    </w:p>
    <w:bookmarkStart w:id="43" w:name="clinical-characteristics"/>
    <w:p>
      <w:pPr>
        <w:pStyle w:val="Heading2"/>
      </w:pPr>
      <w:r>
        <w:t xml:space="preserve">7.1 Clinical Characteristics</w:t>
      </w:r>
    </w:p>
    <w:p>
      <w:pPr>
        <w:pStyle w:val="FirstParagraph"/>
      </w:pPr>
      <w:r>
        <w:t xml:space="preserve">The baseline characteristics are summarized in Table 1. Fracture subjects were significantly older (</w:t>
      </w:r>
      <m:oMath>
        <m:r>
          <m:t>p</m:t>
        </m:r>
        <m:r>
          <m:rPr>
            <m:sty m:val="p"/>
          </m:rPr>
          <m:t>&lt;</m:t>
        </m:r>
        <m:r>
          <m:t>0.05</m:t>
        </m:r>
      </m:oMath>
      <w:r>
        <w:t xml:space="preserve">) with a higher prevalence of previous fragility fractures compared to controls.</w:t>
      </w:r>
    </w:p>
    <w:p>
      <w:pPr>
        <w:pStyle w:val="BodyText"/>
      </w:pPr>
      <w:r>
        <w:t xml:space="preserve">#| label: tbl-demographics</w:t>
      </w:r>
      <w:r>
        <w:t xml:space="preserve"> </w:t>
      </w:r>
      <w:r>
        <w:t xml:space="preserve">#| tbl-cap:</w:t>
      </w:r>
      <w:r>
        <w:t xml:space="preserve"> </w:t>
      </w:r>
      <w:r>
        <w:t xml:space="preserve">“</w:t>
      </w:r>
      <w:r>
        <w:rPr>
          <w:b/>
          <w:bCs/>
        </w:rPr>
        <w:t xml:space="preserve">Table 1: Baseline Demographics and Clinical Characteristics (</w:t>
      </w:r>
      <m:oMath>
        <m:r>
          <m:t>N</m:t>
        </m:r>
        <m:r>
          <m:rPr>
            <m:sty m:val="p"/>
          </m:rPr>
          <m:t>=</m:t>
        </m:r>
        <m:r>
          <m:t>215</m:t>
        </m:r>
      </m:oMath>
      <w:r>
        <w:rPr>
          <w:b/>
          <w:bCs/>
        </w:rPr>
        <w:t xml:space="preserve">).</w:t>
      </w:r>
      <w:r>
        <w:t xml:space="preserve"> </w:t>
      </w:r>
      <w:r>
        <w:t xml:space="preserve">Values are Mean</w:t>
      </w:r>
      <w:r>
        <w:t xml:space="preserve"> </w:t>
      </w:r>
      <m:oMath>
        <m:r>
          <m:rPr>
            <m:sty m:val="p"/>
          </m:rPr>
          <m:t>±</m:t>
        </m:r>
      </m:oMath>
      <w:r>
        <w:t xml:space="preserve"> </w:t>
      </w:r>
      <w:r>
        <w:t xml:space="preserve">SD or</w:t>
      </w:r>
      <w:r>
        <w:t xml:space="preserve"> </w:t>
      </w:r>
      <m:oMath>
        <m:r>
          <m:t>n</m:t>
        </m:r>
      </m:oMath>
      <w:r>
        <w:t xml:space="preserve"> </w:t>
      </w:r>
      <w:r>
        <w:t xml:space="preserve">(%).</w:t>
      </w:r>
      <w:r>
        <w:t xml:space="preserve"> </w:t>
      </w:r>
      <m:oMath>
        <m:r>
          <m:t>P</m:t>
        </m:r>
      </m:oMath>
      <w:r>
        <w:t xml:space="preserve">-values represent differences between Fracture vs. Non-Fracture groups.”</w:t>
      </w:r>
      <w:r>
        <w:t xml:space="preserve"> </w:t>
      </w:r>
      <w:r>
        <w:t xml:space="preserve">#| echo: false</w:t>
      </w:r>
      <w:r>
        <w:t xml:space="preserve"> </w:t>
      </w:r>
      <w:r>
        <w:t xml:space="preserve">#| output: asis</w:t>
      </w:r>
      <w:r>
        <w:t xml:space="preserve"> </w:t>
      </w:r>
      <w:r>
        <w:t xml:space="preserve">import pandas as pd</w:t>
      </w:r>
      <w:r>
        <w:t xml:space="preserve"> </w:t>
      </w:r>
      <w:r>
        <w:t xml:space="preserve">import os</w:t>
      </w:r>
    </w:p>
    <w:p>
      <w:pPr>
        <w:pStyle w:val="BodyText"/>
      </w:pPr>
      <w:r>
        <w:t xml:space="preserve">table1_path =</w:t>
      </w:r>
      <w:r>
        <w:t xml:space="preserve"> </w:t>
      </w:r>
      <w:r>
        <w:t xml:space="preserve">“../results/tables/Table1_Demographics.csv”</w:t>
      </w:r>
      <w:r>
        <w:t xml:space="preserve"> </w:t>
      </w:r>
      <w:r>
        <w:t xml:space="preserve">if os.path.exists(table1_path):</w:t>
      </w:r>
      <w:r>
        <w:t xml:space="preserve"> </w:t>
      </w:r>
      <w:r>
        <w:t xml:space="preserve">df = pd.read_csv(table1_path)</w:t>
      </w:r>
      <w:r>
        <w:t xml:space="preserve"> </w:t>
      </w:r>
      <w:r>
        <w:t xml:space="preserve">print(df.to_markdown(index=False))</w:t>
      </w:r>
      <w:r>
        <w:t xml:space="preserve"> </w:t>
      </w:r>
      <w:r>
        <w:t xml:space="preserve">else:</w:t>
      </w:r>
      <w:r>
        <w:t xml:space="preserve"> </w:t>
      </w:r>
      <w:r>
        <w:t xml:space="preserve">print(f”Table 1 not found at {os.path.abspath(table1_path)}“)</w:t>
      </w:r>
      <w:r>
        <w:t xml:space="preserve"> </w:t>
      </w:r>
      <w:r>
        <w:t xml:space="preserve">Areal Bone Mineral Density (aBMD)</w:t>
      </w:r>
    </w:p>
    <w:bookmarkEnd w:id="43"/>
    <w:bookmarkStart w:id="46" w:name="areal-bone-mineral-density-abmd"/>
    <w:p>
      <w:pPr>
        <w:pStyle w:val="Heading2"/>
      </w:pPr>
      <w:r>
        <w:t xml:space="preserve">7.2 Areal Bone Mineral Density (aBMD)</w:t>
      </w:r>
    </w:p>
    <w:p>
      <w:pPr>
        <w:pStyle w:val="FirstParagraph"/>
      </w:pPr>
      <w:r>
        <w:t xml:space="preserve">Dual-energy X-ray absorptiometry (DXA) was performed in all 215 subjects. In the total cohort, mean</w:t>
      </w:r>
      <w:r>
        <w:t xml:space="preserve"> </w:t>
      </w:r>
      <m:oMath>
        <m:r>
          <m:t>T</m:t>
        </m:r>
      </m:oMath>
      <w:r>
        <w:t xml:space="preserve">-scores at the lumbar spine (L1-L4) and femoral neck were within the osteopenic range for both the fracture and control groups, confirming the</w:t>
      </w:r>
      <w:r>
        <w:t xml:space="preserve"> </w:t>
      </w:r>
      <w:r>
        <w:t xml:space="preserve">“grey zone”</w:t>
      </w:r>
      <w:r>
        <w:t xml:space="preserve"> </w:t>
      </w:r>
      <w:r>
        <w:t xml:space="preserve">status of the study population (Figure 2).</w:t>
      </w:r>
    </w:p>
    <w:bookmarkStart w:id="44" w:name="osteopenic-sub-cohort-n91"/>
    <w:p>
      <w:pPr>
        <w:pStyle w:val="Heading3"/>
      </w:pPr>
      <w:r>
        <w:t xml:space="preserve">7.2.1 Osteopenic Sub-cohort (</w:t>
      </w:r>
      <m:oMath>
        <m:r>
          <m:t>n</m:t>
        </m:r>
        <m:r>
          <m:rPr>
            <m:sty m:val="p"/>
          </m:rPr>
          <m:t>=</m:t>
        </m:r>
        <m:r>
          <m:t>91</m:t>
        </m:r>
      </m:oMath>
      <w:r>
        <w:t xml:space="preserve">)</w:t>
      </w:r>
    </w:p>
    <w:p>
      <w:pPr>
        <w:pStyle w:val="FirstParagraph"/>
      </w:pPr>
      <w:r>
        <w:t xml:space="preserve">In the primary osteopenic sub-cohort, densitometry failed to discriminate between fracture and non-fracture status.</w:t>
      </w:r>
      <w:r>
        <w:t xml:space="preserve"> </w:t>
      </w:r>
      <w:r>
        <w:t xml:space="preserve">*</w:t>
      </w:r>
      <w:r>
        <w:t xml:space="preserve"> </w:t>
      </w:r>
      <w:r>
        <w:rPr>
          <w:b/>
          <w:bCs/>
        </w:rPr>
        <w:t xml:space="preserve">Lumbar Spine:</w:t>
      </w:r>
      <w:r>
        <w:t xml:space="preserve"> </w:t>
      </w:r>
      <m:oMath>
        <m:r>
          <m:t>a</m:t>
        </m:r>
        <m:r>
          <m:t>B</m:t>
        </m:r>
        <m:r>
          <m:t>M</m:t>
        </m:r>
        <m:r>
          <m:t>D</m:t>
        </m:r>
      </m:oMath>
      <w:r>
        <w:t xml:space="preserve"> </w:t>
      </w:r>
      <w:r>
        <w:t xml:space="preserve">was similar between Fx (</w:t>
      </w:r>
      <m:oMath>
        <m:r>
          <m:t>n</m:t>
        </m:r>
        <m:r>
          <m:rPr>
            <m:sty m:val="p"/>
          </m:rPr>
          <m:t>=</m:t>
        </m:r>
        <m:r>
          <m:t>47</m:t>
        </m:r>
      </m:oMath>
      <w:r>
        <w:t xml:space="preserve">) and Co (</w:t>
      </w:r>
      <m:oMath>
        <m:r>
          <m:t>n</m:t>
        </m:r>
        <m:r>
          <m:rPr>
            <m:sty m:val="p"/>
          </m:rPr>
          <m:t>=</m:t>
        </m:r>
        <m:r>
          <m:t>44</m:t>
        </m:r>
      </m:oMath>
      <w:r>
        <w:t xml:space="preserve">) groups (</w:t>
      </w:r>
      <m:oMath>
        <m:r>
          <m:t>0.86</m:t>
        </m:r>
        <m:r>
          <m:rPr>
            <m:sty m:val="p"/>
          </m:rPr>
          <m:t>±</m:t>
        </m:r>
        <m:r>
          <m:t>0.09</m:t>
        </m:r>
      </m:oMath>
      <w:r>
        <w:t xml:space="preserve"> </w:t>
      </w:r>
      <w:r>
        <w:t xml:space="preserve">vs</w:t>
      </w:r>
      <w:r>
        <w:t xml:space="preserve"> </w:t>
      </w:r>
      <m:oMath>
        <m:r>
          <m:t>0.88</m:t>
        </m:r>
        <m:r>
          <m:rPr>
            <m:sty m:val="p"/>
          </m:rPr>
          <m:t>±</m:t>
        </m:r>
        <m:r>
          <m:t>0.08</m:t>
        </m:r>
      </m:oMath>
      <w:r>
        <w:t xml:space="preserve"> </w:t>
      </w:r>
      <w:r>
        <w:t xml:space="preserve">g/cm²;</w:t>
      </w:r>
      <w:r>
        <w:t xml:space="preserve"> </w:t>
      </w:r>
      <m:oMath>
        <m:r>
          <m:rPr>
            <m:sty m:val="p"/>
          </m:rPr>
          <m:t>−</m:t>
        </m:r>
        <m:r>
          <m:t>2.3</m:t>
        </m:r>
        <m:r>
          <m:rPr>
            <m:sty m:val="p"/>
          </m:rPr>
          <m:t>%</m:t>
        </m:r>
      </m:oMath>
      <w:r>
        <w:t xml:space="preserve">,</w:t>
      </w:r>
      <w:r>
        <w:t xml:space="preserve"> </w:t>
      </w:r>
      <m:oMath>
        <m:r>
          <m:t>p</m:t>
        </m:r>
        <m:r>
          <m:rPr>
            <m:sty m:val="p"/>
          </m:rPr>
          <m:t>=</m:t>
        </m:r>
        <m:r>
          <m:t>0.110</m:t>
        </m:r>
      </m:oMath>
      <w:r>
        <w:t xml:space="preserve">).</w:t>
      </w:r>
      <w:r>
        <w:t xml:space="preserve"> </w:t>
      </w:r>
      <w:r>
        <w:t xml:space="preserve">*</w:t>
      </w:r>
      <w:r>
        <w:t xml:space="preserve"> </w:t>
      </w:r>
      <w:r>
        <w:rPr>
          <w:b/>
          <w:bCs/>
        </w:rPr>
        <w:t xml:space="preserve">Femoral Neck:</w:t>
      </w:r>
      <w:r>
        <w:t xml:space="preserve"> </w:t>
      </w:r>
      <m:oMath>
        <m:r>
          <m:t>a</m:t>
        </m:r>
        <m:r>
          <m:t>B</m:t>
        </m:r>
        <m:r>
          <m:t>M</m:t>
        </m:r>
        <m:r>
          <m:t>D</m:t>
        </m:r>
      </m:oMath>
      <w:r>
        <w:t xml:space="preserve"> </w:t>
      </w:r>
      <w:r>
        <w:t xml:space="preserve">was virtually identical (</w:t>
      </w:r>
      <m:oMath>
        <m:r>
          <m:t>p</m:t>
        </m:r>
        <m:r>
          <m:rPr>
            <m:sty m:val="p"/>
          </m:rPr>
          <m:t>=</m:t>
        </m:r>
        <m:r>
          <m:t>0.713</m:t>
        </m:r>
      </m:oMath>
      <w:r>
        <w:t xml:space="preserve">).</w:t>
      </w:r>
    </w:p>
    <w:bookmarkEnd w:id="44"/>
    <w:bookmarkStart w:id="45" w:name="diabetic-sub-cohorts"/>
    <w:p>
      <w:pPr>
        <w:pStyle w:val="Heading3"/>
      </w:pPr>
      <w:r>
        <w:t xml:space="preserve">7.2.2 Diabetic Sub-cohorts</w:t>
      </w:r>
    </w:p>
    <w:p>
      <w:pPr>
        <w:pStyle w:val="FirstParagraph"/>
      </w:pPr>
      <w:r>
        <w:t xml:space="preserve">Notably, in the</w:t>
      </w:r>
      <w:r>
        <w:t xml:space="preserve"> </w:t>
      </w:r>
      <w:r>
        <w:rPr>
          <w:b/>
          <w:bCs/>
        </w:rPr>
        <w:t xml:space="preserve">Diabetic Osteopenia (</w:t>
      </w:r>
      <m:oMath>
        <m:r>
          <m:t>n</m:t>
        </m:r>
        <m:r>
          <m:rPr>
            <m:sty m:val="p"/>
          </m:rPr>
          <m:t>=</m:t>
        </m:r>
        <m:r>
          <m:t>66</m:t>
        </m:r>
      </m:oMath>
      <w:r>
        <w:rPr>
          <w:b/>
          <w:bCs/>
        </w:rPr>
        <w:t xml:space="preserve">)</w:t>
      </w:r>
      <w:r>
        <w:t xml:space="preserve"> </w:t>
      </w:r>
      <w:r>
        <w:t xml:space="preserve">subgroup,</w:t>
      </w:r>
      <w:r>
        <w:t xml:space="preserve"> </w:t>
      </w:r>
      <m:oMath>
        <m:r>
          <m:t>a</m:t>
        </m:r>
        <m:r>
          <m:t>B</m:t>
        </m:r>
        <m:r>
          <m:t>M</m:t>
        </m:r>
        <m:r>
          <m:t>D</m:t>
        </m:r>
      </m:oMath>
      <w:r>
        <w:t xml:space="preserve"> </w:t>
      </w:r>
      <w:r>
        <w:t xml:space="preserve">values were paradoxically preserved in the fracture group (</w:t>
      </w:r>
      <m:oMath>
        <m:r>
          <m:rPr>
            <m:sty m:val="p"/>
          </m:rPr>
          <m:t>+</m:t>
        </m:r>
        <m:r>
          <m:t>1.4</m:t>
        </m:r>
        <m:r>
          <m:rPr>
            <m:sty m:val="p"/>
          </m:rPr>
          <m:t>%</m:t>
        </m:r>
      </m:oMath>
      <w:r>
        <w:t xml:space="preserve"> </w:t>
      </w:r>
      <w:r>
        <w:t xml:space="preserve">at femoral neck,</w:t>
      </w:r>
      <w:r>
        <w:t xml:space="preserve"> </w:t>
      </w:r>
      <m:oMath>
        <m:r>
          <m:t>p</m:t>
        </m:r>
        <m:r>
          <m:rPr>
            <m:sty m:val="p"/>
          </m:rPr>
          <m:t>=</m:t>
        </m:r>
        <m:r>
          <m:t>0.74</m:t>
        </m:r>
      </m:oMath>
      <w:r>
        <w:t xml:space="preserve">) compared to controls. This</w:t>
      </w:r>
      <w:r>
        <w:t xml:space="preserve"> </w:t>
      </w:r>
      <w:r>
        <w:t xml:space="preserve">“Diabetic Paradox”</w:t>
      </w:r>
      <w:r>
        <w:t xml:space="preserve"> </w:t>
      </w:r>
      <w:r>
        <w:t xml:space="preserve">confirms that</w:t>
      </w:r>
      <w:r>
        <w:t xml:space="preserve"> </w:t>
      </w:r>
      <m:oMath>
        <m:r>
          <m:t>a</m:t>
        </m:r>
        <m:r>
          <m:t>B</m:t>
        </m:r>
        <m:r>
          <m:t>M</m:t>
        </m:r>
        <m:r>
          <m:t>D</m:t>
        </m:r>
      </m:oMath>
      <w:r>
        <w:t xml:space="preserve"> </w:t>
      </w:r>
      <w:r>
        <w:t xml:space="preserve">is a poor surrogate for skeletal strength in T2DM.</w:t>
      </w:r>
    </w:p>
    <w:p>
      <w:pPr>
        <w:pStyle w:val="BodyText"/>
      </w:pPr>
      <w:r>
        <w:t xml:space="preserve">{#fig-dxa-boxplot}</w:t>
      </w:r>
    </w:p>
    <w:p>
      <w:pPr>
        <w:pStyle w:val="BodyText"/>
      </w:pPr>
      <w:r>
        <w:t xml:space="preserve">Peripheral Bone Microarchitecture and Quality</w:t>
      </w:r>
    </w:p>
    <w:bookmarkEnd w:id="45"/>
    <w:bookmarkEnd w:id="46"/>
    <w:bookmarkStart w:id="47" w:name="X8813f6801db7deb2278af449e7293174882496f"/>
    <w:p>
      <w:pPr>
        <w:pStyle w:val="Heading2"/>
      </w:pPr>
      <w:r>
        <w:t xml:space="preserve">7.3 Peripheral Bone Microarchitecture and Quality</w:t>
      </w:r>
    </w:p>
    <w:p>
      <w:pPr>
        <w:pStyle w:val="FirstParagraph"/>
      </w:pPr>
      <w:r>
        <w:rPr>
          <w:b/>
          <w:bCs/>
        </w:rPr>
        <w:t xml:space="preserve">Osteopenic Sub-cohort (</w:t>
      </w:r>
      <m:oMath>
        <m:r>
          <m:t>n</m:t>
        </m:r>
        <m:r>
          <m:rPr>
            <m:sty m:val="p"/>
          </m:rPr>
          <m:t>=</m:t>
        </m:r>
        <m:r>
          <m:t>91</m:t>
        </m:r>
      </m:oMath>
      <w:r>
        <w:rPr>
          <w:b/>
          <w:bCs/>
        </w:rPr>
        <w:t xml:space="preserve">): The Trabecular Driver</w:t>
      </w:r>
      <w:r>
        <w:t xml:space="preserve"> </w:t>
      </w:r>
      <w:r>
        <w:t xml:space="preserve">In the primary</w:t>
      </w:r>
      <w:r>
        <w:t xml:space="preserve"> </w:t>
      </w:r>
      <w:r>
        <w:t xml:space="preserve">“Grey Zone”</w:t>
      </w:r>
      <w:r>
        <w:t xml:space="preserve"> </w:t>
      </w:r>
      <w:r>
        <w:t xml:space="preserve">cohort, HR-pQCT revealed a profound deficit in trabecular integrity. At the distal radius, women with fractures exhibited significantly lower</w:t>
      </w:r>
      <w:r>
        <w:t xml:space="preserve"> </w:t>
      </w:r>
      <w:r>
        <w:rPr>
          <w:b/>
          <w:bCs/>
        </w:rPr>
        <w:t xml:space="preserve">Trabecular Number (</w:t>
      </w:r>
      <m:oMath>
        <m:r>
          <m:t>T</m:t>
        </m:r>
        <m:r>
          <m:t>b</m:t>
        </m:r>
        <m:r>
          <m:rPr>
            <m:sty m:val="p"/>
          </m:rPr>
          <m:t>.</m:t>
        </m:r>
        <m:r>
          <m:t>N</m:t>
        </m:r>
      </m:oMath>
      <w:r>
        <w:rPr>
          <w:b/>
          <w:bCs/>
        </w:rPr>
        <w:t xml:space="preserve">)</w:t>
      </w:r>
      <w:r>
        <w:t xml:space="preserve"> </w:t>
      </w:r>
      <w:r>
        <w:t xml:space="preserve">compared to controls (</w:t>
      </w:r>
      <m:oMath>
        <m:r>
          <m:rPr>
            <m:sty m:val="p"/>
          </m:rPr>
          <m:t>−</m:t>
        </m:r>
        <m:r>
          <m:t>11.6</m:t>
        </m:r>
        <m:r>
          <m:rPr>
            <m:sty m:val="p"/>
          </m:rPr>
          <m:t>%</m:t>
        </m:r>
      </m:oMath>
      <w:r>
        <w:t xml:space="preserve">,</w:t>
      </w:r>
      <w:r>
        <w:t xml:space="preserve"> </w:t>
      </w:r>
      <m:oMath>
        <m:r>
          <m:t>p</m:t>
        </m:r>
        <m:r>
          <m:rPr>
            <m:sty m:val="p"/>
          </m:rPr>
          <m:t>&lt;</m:t>
        </m:r>
        <m:r>
          <m:t>0.001</m:t>
        </m:r>
      </m:oMath>
      <w:r>
        <w:t xml:space="preserve">). This was the dominant structural failure mode.</w:t>
      </w:r>
    </w:p>
    <w:p>
      <w:pPr>
        <w:pStyle w:val="BodyText"/>
      </w:pPr>
      <w:r>
        <w:rPr>
          <w:b/>
          <w:bCs/>
        </w:rPr>
        <w:t xml:space="preserve">Diabetic Osteopenia (</w:t>
      </w:r>
      <m:oMath>
        <m:r>
          <m:t>n</m:t>
        </m:r>
        <m:r>
          <m:rPr>
            <m:sty m:val="p"/>
          </m:rPr>
          <m:t>=</m:t>
        </m:r>
        <m:r>
          <m:t>66</m:t>
        </m:r>
      </m:oMath>
      <w:r>
        <w:rPr>
          <w:b/>
          <w:bCs/>
        </w:rPr>
        <w:t xml:space="preserve">): The Cortical Switch</w:t>
      </w:r>
      <w:r>
        <w:t xml:space="preserve"> </w:t>
      </w:r>
      <w:r>
        <w:t xml:space="preserve">A distinct</w:t>
      </w:r>
      <w:r>
        <w:t xml:space="preserve"> </w:t>
      </w:r>
      <w:r>
        <w:t xml:space="preserve">“Cortical Phenotype”</w:t>
      </w:r>
      <w:r>
        <w:t xml:space="preserve"> </w:t>
      </w:r>
      <w:r>
        <w:t xml:space="preserve">emerged in the diabetic osteopenic subgroup. While trabecular deficits were present, the most striking failure was in the cortical envelope. At the distal tibia, diabetic fracture subjects (DMFx) displayed a significant increase in</w:t>
      </w:r>
      <w:r>
        <w:t xml:space="preserve"> </w:t>
      </w:r>
      <w:r>
        <w:rPr>
          <w:b/>
          <w:bCs/>
        </w:rPr>
        <w:t xml:space="preserve">Cortical Porosity (</w:t>
      </w:r>
      <m:oMath>
        <m:r>
          <m:t>C</m:t>
        </m:r>
        <m:r>
          <m:t>t</m:t>
        </m:r>
        <m:r>
          <m:rPr>
            <m:sty m:val="p"/>
          </m:rPr>
          <m:t>.</m:t>
        </m:r>
        <m:r>
          <m:t>P</m:t>
        </m:r>
        <m:r>
          <m:t>o</m:t>
        </m:r>
      </m:oMath>
      <w:r>
        <w:rPr>
          <w:b/>
          <w:bCs/>
        </w:rPr>
        <w:t xml:space="preserve">)</w:t>
      </w:r>
      <w:r>
        <w:t xml:space="preserve"> </w:t>
      </w:r>
      <w:r>
        <w:t xml:space="preserve">(</w:t>
      </w:r>
      <m:oMath>
        <m:r>
          <m:rPr>
            <m:sty m:val="p"/>
          </m:rPr>
          <m:t>+</m:t>
        </m:r>
        <m:r>
          <m:t>58.1</m:t>
        </m:r>
        <m:r>
          <m:rPr>
            <m:sty m:val="p"/>
          </m:rPr>
          <m:t>%</m:t>
        </m:r>
      </m:oMath>
      <w:r>
        <w:t xml:space="preserve">,</w:t>
      </w:r>
      <w:r>
        <w:t xml:space="preserve"> </w:t>
      </w:r>
      <m:oMath>
        <m:r>
          <m:t>p</m:t>
        </m:r>
        <m:r>
          <m:rPr>
            <m:sty m:val="p"/>
          </m:rPr>
          <m:t>=</m:t>
        </m:r>
        <m:r>
          <m:t>0.005</m:t>
        </m:r>
      </m:oMath>
      <w:r>
        <w:t xml:space="preserve">) compared to diabetic controls. This</w:t>
      </w:r>
      <w:r>
        <w:t xml:space="preserve"> </w:t>
      </w:r>
      <w:r>
        <w:t xml:space="preserve">“Swiss-Cheese”</w:t>
      </w:r>
      <w:r>
        <w:t xml:space="preserve"> </w:t>
      </w:r>
      <w:r>
        <w:t xml:space="preserve">transformation drives fragility in the weight-bearing skeleton of diabetic patients.</w:t>
      </w:r>
    </w:p>
    <w:p>
      <w:pPr>
        <w:pStyle w:val="BodyText"/>
      </w:pPr>
      <w:r>
        <w:t xml:space="preserve">Distal Radius: The Trabecular Driver</w:t>
      </w:r>
      <w:r>
        <w:t xml:space="preserve"> </w:t>
      </w:r>
      <w:r>
        <w:t xml:space="preserve">Table 2 details microarchitectural parameters at the distal radius. In the general fracture population, the dominant structural failure mode is a reduction in trabecular connectivity.</w:t>
      </w:r>
    </w:p>
    <w:p>
      <w:pPr>
        <w:pStyle w:val="BodyText"/>
      </w:pPr>
      <w:r>
        <w:t xml:space="preserve">#| label: tbl-radius-params</w:t>
      </w:r>
      <w:r>
        <w:t xml:space="preserve"> </w:t>
      </w:r>
      <w:r>
        <w:t xml:space="preserve">#| tbl-cap:</w:t>
      </w:r>
      <w:r>
        <w:t xml:space="preserve"> </w:t>
      </w:r>
      <w:r>
        <w:t xml:space="preserve">“</w:t>
      </w:r>
      <w:r>
        <w:rPr>
          <w:b/>
          <w:bCs/>
        </w:rPr>
        <w:t xml:space="preserve">Table 2: HR-pQCT Parameters at the Distal Radius.</w:t>
      </w:r>
      <w:r>
        <w:t xml:space="preserve"> </w:t>
      </w:r>
      <w:r>
        <w:t xml:space="preserve">Significant deficits in</w:t>
      </w:r>
      <w:r>
        <w:t xml:space="preserve"> </w:t>
      </w:r>
      <m:oMath>
        <m:r>
          <m:t>T</m:t>
        </m:r>
        <m:r>
          <m:t>b</m:t>
        </m:r>
        <m:r>
          <m:rPr>
            <m:sty m:val="p"/>
          </m:rPr>
          <m:t>.</m:t>
        </m:r>
        <m:r>
          <m:t>N</m:t>
        </m:r>
      </m:oMath>
      <w:r>
        <w:t xml:space="preserve"> </w:t>
      </w:r>
      <w:r>
        <w:t xml:space="preserve">and</w:t>
      </w:r>
      <w:r>
        <w:t xml:space="preserve"> </w:t>
      </w:r>
      <m:oMath>
        <m:r>
          <m:t>T</m:t>
        </m:r>
        <m:r>
          <m:t>b</m:t>
        </m:r>
        <m:r>
          <m:rPr>
            <m:sty m:val="p"/>
          </m:rPr>
          <m:t>.</m:t>
        </m:r>
        <m:r>
          <m:t>v</m:t>
        </m:r>
        <m:r>
          <m:t>B</m:t>
        </m:r>
        <m:r>
          <m:t>M</m:t>
        </m:r>
        <m:r>
          <m:t>D</m:t>
        </m:r>
      </m:oMath>
      <w:r>
        <w:t xml:space="preserve"> </w:t>
      </w:r>
      <w:r>
        <w:t xml:space="preserve">distinguish fracture cases.”</w:t>
      </w:r>
      <w:r>
        <w:t xml:space="preserve"> </w:t>
      </w:r>
      <w:r>
        <w:t xml:space="preserve">#| echo: false</w:t>
      </w:r>
      <w:r>
        <w:t xml:space="preserve"> </w:t>
      </w:r>
      <w:r>
        <w:t xml:space="preserve">#| output: asis</w:t>
      </w:r>
      <w:r>
        <w:t xml:space="preserve"> </w:t>
      </w:r>
      <w:r>
        <w:t xml:space="preserve">import pandas as pd</w:t>
      </w:r>
      <w:r>
        <w:t xml:space="preserve"> </w:t>
      </w:r>
      <w:r>
        <w:t xml:space="preserve">table2_path =</w:t>
      </w:r>
      <w:r>
        <w:t xml:space="preserve"> </w:t>
      </w:r>
      <w:r>
        <w:t xml:space="preserve">“../results/tables/Table2_Radius_Parameters.csv”</w:t>
      </w:r>
      <w:r>
        <w:t xml:space="preserve"> </w:t>
      </w:r>
      <w:r>
        <w:t xml:space="preserve">if os.path.exists(table2_path):</w:t>
      </w:r>
      <w:r>
        <w:t xml:space="preserve"> </w:t>
      </w:r>
      <w:r>
        <w:t xml:space="preserve">df_radius = pd.read_csv(table2_path)</w:t>
      </w:r>
      <w:r>
        <w:t xml:space="preserve"> </w:t>
      </w:r>
      <w:r>
        <w:t xml:space="preserve">print(df_radius.to_markdown(index=False))</w:t>
      </w:r>
    </w:p>
    <w:p>
      <w:pPr>
        <w:pStyle w:val="BodyText"/>
      </w:pPr>
      <w:r>
        <w:t xml:space="preserve">Distal Tibia: The Cortical Switch</w:t>
      </w:r>
      <w:r>
        <w:t xml:space="preserve"> </w:t>
      </w:r>
      <w:r>
        <w:t xml:space="preserve">Table 3 highlights the weight-bearing tibia, where the impact of Type 2 Diabetes becomes structurally evident through increased cortical porosity.</w:t>
      </w:r>
    </w:p>
    <w:p>
      <w:pPr>
        <w:pStyle w:val="BodyText"/>
      </w:pPr>
      <w:r>
        <w:t xml:space="preserve">#| label: tbl-tibia-params</w:t>
      </w:r>
      <w:r>
        <w:t xml:space="preserve"> </w:t>
      </w:r>
      <w:r>
        <w:t xml:space="preserve">#| tbl-cap:</w:t>
      </w:r>
      <w:r>
        <w:t xml:space="preserve"> </w:t>
      </w:r>
      <w:r>
        <w:t xml:space="preserve">“</w:t>
      </w:r>
      <w:r>
        <w:rPr>
          <w:b/>
          <w:bCs/>
        </w:rPr>
        <w:t xml:space="preserve">Table 3: HR-pQCT Parameters at the Distal Tibia.</w:t>
      </w:r>
      <w:r>
        <w:t xml:space="preserve"> </w:t>
      </w:r>
      <w:r>
        <w:t xml:space="preserve">Note the significantly elevated Cortical Porosity (</w:t>
      </w:r>
      <m:oMath>
        <m:r>
          <m:t>C</m:t>
        </m:r>
        <m:r>
          <m:t>t</m:t>
        </m:r>
        <m:r>
          <m:rPr>
            <m:sty m:val="p"/>
          </m:rPr>
          <m:t>.</m:t>
        </m:r>
        <m:r>
          <m:t>P</m:t>
        </m:r>
        <m:r>
          <m:t>o</m:t>
        </m:r>
      </m:oMath>
      <w:r>
        <w:t xml:space="preserve">) in the Diabetic Fracture (DMFx) group.”</w:t>
      </w:r>
      <w:r>
        <w:t xml:space="preserve"> </w:t>
      </w:r>
      <w:r>
        <w:t xml:space="preserve">#| echo: false</w:t>
      </w:r>
      <w:r>
        <w:t xml:space="preserve"> </w:t>
      </w:r>
      <w:r>
        <w:t xml:space="preserve">#| output: asis</w:t>
      </w:r>
      <w:r>
        <w:t xml:space="preserve"> </w:t>
      </w:r>
      <w:r>
        <w:t xml:space="preserve">import pandas as pd</w:t>
      </w:r>
      <w:r>
        <w:t xml:space="preserve"> </w:t>
      </w:r>
      <w:r>
        <w:t xml:space="preserve">table3_path =</w:t>
      </w:r>
      <w:r>
        <w:t xml:space="preserve"> </w:t>
      </w:r>
      <w:r>
        <w:t xml:space="preserve">“../results/tables/Table3_Tibia_Parameters.csv”</w:t>
      </w:r>
      <w:r>
        <w:t xml:space="preserve"> </w:t>
      </w:r>
      <w:r>
        <w:t xml:space="preserve">if os.path.exists(table3_path):</w:t>
      </w:r>
      <w:r>
        <w:t xml:space="preserve"> </w:t>
      </w:r>
      <w:r>
        <w:t xml:space="preserve">df_tibia = pd.read_csv(table3_path)</w:t>
      </w:r>
      <w:r>
        <w:t xml:space="preserve"> </w:t>
      </w:r>
      <w:r>
        <w:t xml:space="preserve">print(df_tibia.to_markdown(index=False))</w:t>
      </w:r>
    </w:p>
    <w:p>
      <w:pPr>
        <w:pStyle w:val="BodyText"/>
      </w:pPr>
      <w:r>
        <w:t xml:space="preserve">{#fig-porosity}</w:t>
      </w:r>
    </w:p>
    <w:p>
      <w:pPr>
        <w:pStyle w:val="BodyText"/>
      </w:pPr>
      <w:r>
        <w:t xml:space="preserve">Biomechanical Competence and Risk Modeling</w:t>
      </w:r>
    </w:p>
    <w:bookmarkEnd w:id="47"/>
    <w:bookmarkStart w:id="48" w:name="biomechanical-competence-mufea-1"/>
    <w:p>
      <w:pPr>
        <w:pStyle w:val="Heading2"/>
      </w:pPr>
      <w:r>
        <w:t xml:space="preserve">7.4 Biomechanical Competence (</w:t>
      </w:r>
      <m:oMath>
        <m:r>
          <m:t>μ</m:t>
        </m:r>
      </m:oMath>
      <w:r>
        <w:t xml:space="preserve">FEA)</w:t>
      </w:r>
    </w:p>
    <w:p>
      <w:pPr>
        <w:pStyle w:val="FirstParagraph"/>
      </w:pPr>
      <w:r>
        <w:rPr>
          <w:b/>
          <w:bCs/>
        </w:rPr>
        <w:t xml:space="preserve">General Osteopenia (</w:t>
      </w:r>
      <m:oMath>
        <m:r>
          <m:t>n</m:t>
        </m:r>
        <m:r>
          <m:rPr>
            <m:sty m:val="p"/>
          </m:rPr>
          <m:t>=</m:t>
        </m:r>
        <m:r>
          <m:t>91</m:t>
        </m:r>
      </m:oMath>
      <w:r>
        <w:rPr>
          <w:b/>
          <w:bCs/>
        </w:rPr>
        <w:t xml:space="preserve">):</w:t>
      </w:r>
      <w:r>
        <w:t xml:space="preserve"> </w:t>
      </w:r>
      <w:r>
        <w:t xml:space="preserve">Radius</w:t>
      </w:r>
      <w:r>
        <w:t xml:space="preserve"> </w:t>
      </w:r>
      <w:r>
        <w:rPr>
          <w:b/>
          <w:bCs/>
        </w:rPr>
        <w:t xml:space="preserve">Failure Load</w:t>
      </w:r>
      <w:r>
        <w:t xml:space="preserve"> </w:t>
      </w:r>
      <w:r>
        <w:t xml:space="preserve">was</w:t>
      </w:r>
      <w:r>
        <w:t xml:space="preserve"> </w:t>
      </w:r>
      <m:oMath>
        <m:r>
          <m:t>14.3</m:t>
        </m:r>
        <m:r>
          <m:rPr>
            <m:sty m:val="p"/>
          </m:rPr>
          <m:t>%</m:t>
        </m:r>
      </m:oMath>
      <w:r>
        <w:t xml:space="preserve"> </w:t>
      </w:r>
      <w:r>
        <w:t xml:space="preserve">lower in fracturers (</w:t>
      </w:r>
      <m:oMath>
        <m:r>
          <m:t>p</m:t>
        </m:r>
        <m:r>
          <m:rPr>
            <m:sty m:val="p"/>
          </m:rPr>
          <m:t>=</m:t>
        </m:r>
        <m:r>
          <m:t>0.03</m:t>
        </m:r>
      </m:oMath>
      <w:r>
        <w:t xml:space="preserve">), driven by the loss of trabecular connectivity.</w:t>
      </w:r>
    </w:p>
    <w:p>
      <w:pPr>
        <w:pStyle w:val="BodyText"/>
      </w:pPr>
      <w:r>
        <w:rPr>
          <w:b/>
          <w:bCs/>
        </w:rPr>
        <w:t xml:space="preserve">Diabetic Osteopenia (</w:t>
      </w:r>
      <m:oMath>
        <m:r>
          <m:t>n</m:t>
        </m:r>
        <m:r>
          <m:rPr>
            <m:sty m:val="p"/>
          </m:rPr>
          <m:t>=</m:t>
        </m:r>
        <m:r>
          <m:t>66</m:t>
        </m:r>
      </m:oMath>
      <w:r>
        <w:rPr>
          <w:b/>
          <w:bCs/>
        </w:rPr>
        <w:t xml:space="preserve">):</w:t>
      </w:r>
      <w:r>
        <w:t xml:space="preserve"> </w:t>
      </w:r>
      <w:r>
        <w:t xml:space="preserve">Tibia</w:t>
      </w:r>
      <w:r>
        <w:t xml:space="preserve"> </w:t>
      </w:r>
      <w:r>
        <w:rPr>
          <w:b/>
          <w:bCs/>
        </w:rPr>
        <w:t xml:space="preserve">Failure Load</w:t>
      </w:r>
      <w:r>
        <w:t xml:space="preserve"> </w:t>
      </w:r>
      <w:r>
        <w:t xml:space="preserve">was</w:t>
      </w:r>
      <w:r>
        <w:t xml:space="preserve"> </w:t>
      </w:r>
      <m:oMath>
        <m:r>
          <m:t>16.8</m:t>
        </m:r>
        <m:r>
          <m:rPr>
            <m:sty m:val="p"/>
          </m:rPr>
          <m:t>%</m:t>
        </m:r>
      </m:oMath>
      <w:r>
        <w:t xml:space="preserve"> </w:t>
      </w:r>
      <w:r>
        <w:t xml:space="preserve">lower in fracturers (</w:t>
      </w:r>
      <m:oMath>
        <m:r>
          <m:t>p</m:t>
        </m:r>
        <m:r>
          <m:rPr>
            <m:sty m:val="p"/>
          </m:rPr>
          <m:t>=</m:t>
        </m:r>
        <m:r>
          <m:t>0.01</m:t>
        </m:r>
      </m:oMath>
      <w:r>
        <w:t xml:space="preserve">). Critically, in this group, failure load was strongly correlated with</w:t>
      </w:r>
      <w:r>
        <w:t xml:space="preserve"> </w:t>
      </w:r>
      <w:r>
        <w:rPr>
          <w:b/>
          <w:bCs/>
        </w:rPr>
        <w:t xml:space="preserve">Cortical Porosity</w:t>
      </w:r>
      <w:r>
        <w:t xml:space="preserve"> </w:t>
      </w:r>
      <w:r>
        <w:t xml:space="preserve">(</w:t>
      </w:r>
      <m:oMath>
        <m:r>
          <m:t>r</m:t>
        </m:r>
        <m:r>
          <m:rPr>
            <m:sty m:val="p"/>
          </m:rPr>
          <m:t>=</m:t>
        </m:r>
        <m:r>
          <m:rPr>
            <m:sty m:val="p"/>
          </m:rPr>
          <m:t>−</m:t>
        </m:r>
        <m:r>
          <m:t>0.48</m:t>
        </m:r>
      </m:oMath>
      <w:r>
        <w:t xml:space="preserve">,</w:t>
      </w:r>
      <w:r>
        <w:t xml:space="preserve"> </w:t>
      </w:r>
      <m:oMath>
        <m:r>
          <m:t>p</m:t>
        </m:r>
        <m:r>
          <m:rPr>
            <m:sty m:val="p"/>
          </m:rPr>
          <m:t>&lt;</m:t>
        </m:r>
        <m:r>
          <m:t>0.01</m:t>
        </m:r>
      </m:oMath>
      <w:r>
        <w:t xml:space="preserve">), confirming that porosity acts as the primary stress riser in diabetic bone.</w:t>
      </w:r>
    </w:p>
    <w:bookmarkEnd w:id="48"/>
    <w:bookmarkStart w:id="55" w:name="multivariable-risk-modeling"/>
    <w:p>
      <w:pPr>
        <w:pStyle w:val="Heading2"/>
      </w:pPr>
      <w:r>
        <w:t xml:space="preserve">7.5 Multivariable Risk Modeling</w:t>
      </w:r>
    </w:p>
    <w:p>
      <w:pPr>
        <w:pStyle w:val="FirstParagraph"/>
      </w:pPr>
      <w:r>
        <w:t xml:space="preserve">To determine independent fracture risk, we adjusted for Age, BMI, and Total Hip</w:t>
      </w:r>
      <w:r>
        <w:t xml:space="preserve"> </w:t>
      </w:r>
      <m:oMath>
        <m:r>
          <m:t>a</m:t>
        </m:r>
        <m:r>
          <m:t>B</m:t>
        </m:r>
        <m:r>
          <m:t>M</m:t>
        </m:r>
        <m:r>
          <m:t>D</m:t>
        </m:r>
      </m:oMath>
      <w:r>
        <w:t xml:space="preserve">.</w:t>
      </w:r>
    </w:p>
    <w:p>
      <w:pPr>
        <w:pStyle w:val="Compact"/>
        <w:numPr>
          <w:ilvl w:val="0"/>
          <w:numId w:val="1006"/>
        </w:numPr>
      </w:pPr>
      <w:r>
        <w:rPr>
          <w:b/>
          <w:bCs/>
        </w:rPr>
        <w:t xml:space="preserve">Trabecular Driver:</w:t>
      </w:r>
      <w:r>
        <w:t xml:space="preserve"> </w:t>
      </w:r>
      <w:r>
        <w:t xml:space="preserve">In general osteopenia,</w:t>
      </w:r>
      <w:r>
        <w:t xml:space="preserve"> </w:t>
      </w:r>
      <w:r>
        <w:rPr>
          <w:b/>
          <w:bCs/>
        </w:rPr>
        <w:t xml:space="preserve">Radius</w:t>
      </w:r>
      <w:r>
        <w:rPr>
          <w:b/>
          <w:bCs/>
        </w:rPr>
        <w:t xml:space="preserve"> </w:t>
      </w:r>
      <m:oMath>
        <m:r>
          <m:t>T</m:t>
        </m:r>
        <m:r>
          <m:t>b</m:t>
        </m:r>
        <m:r>
          <m:rPr>
            <m:sty m:val="p"/>
          </m:rPr>
          <m:t>.</m:t>
        </m:r>
        <m:r>
          <m:t>N</m:t>
        </m:r>
      </m:oMath>
      <w:r>
        <w:t xml:space="preserve"> </w:t>
      </w:r>
      <w:r>
        <w:t xml:space="preserve">remained the strongest predictor (</w:t>
      </w:r>
      <m:oMath>
        <m:r>
          <m:t>a</m:t>
        </m:r>
        <m:r>
          <m:t>O</m:t>
        </m:r>
        <m:r>
          <m:t>R</m:t>
        </m:r>
        <m:r>
          <m:rPr>
            <m:sty m:val="p"/>
          </m:rPr>
          <m:t>=</m:t>
        </m:r>
        <m:r>
          <m:t>2.59</m:t>
        </m:r>
      </m:oMath>
      <w:r>
        <w:t xml:space="preserve">,</w:t>
      </w:r>
      <w:r>
        <w:t xml:space="preserve"> </w:t>
      </w:r>
      <m:oMath>
        <m:r>
          <m:t>p</m:t>
        </m:r>
        <m:r>
          <m:rPr>
            <m:sty m:val="p"/>
          </m:rPr>
          <m:t>&lt;</m:t>
        </m:r>
        <m:r>
          <m:t>0.001</m:t>
        </m:r>
      </m:oMath>
      <w:r>
        <w:t xml:space="preserve">).</w:t>
      </w:r>
    </w:p>
    <w:p>
      <w:pPr>
        <w:pStyle w:val="Compact"/>
        <w:numPr>
          <w:ilvl w:val="0"/>
          <w:numId w:val="1006"/>
        </w:numPr>
      </w:pPr>
      <w:r>
        <w:rPr>
          <w:b/>
          <w:bCs/>
        </w:rPr>
        <w:t xml:space="preserve">Cortical Switch:</w:t>
      </w:r>
      <w:r>
        <w:t xml:space="preserve"> </w:t>
      </w:r>
      <w:r>
        <w:t xml:space="preserve">In diabetic osteopenia,</w:t>
      </w:r>
      <w:r>
        <w:t xml:space="preserve"> </w:t>
      </w:r>
      <w:r>
        <w:rPr>
          <w:b/>
          <w:bCs/>
        </w:rPr>
        <w:t xml:space="preserve">Radius</w:t>
      </w:r>
      <w:r>
        <w:rPr>
          <w:b/>
          <w:bCs/>
        </w:rPr>
        <w:t xml:space="preserve"> </w:t>
      </w:r>
      <m:oMath>
        <m:r>
          <m:t>C</m:t>
        </m:r>
        <m:r>
          <m:t>t</m:t>
        </m:r>
        <m:r>
          <m:rPr>
            <m:sty m:val="p"/>
          </m:rPr>
          <m:t>.</m:t>
        </m:r>
        <m:r>
          <m:t>P</m:t>
        </m:r>
        <m:r>
          <m:t>o</m:t>
        </m:r>
      </m:oMath>
      <w:r>
        <w:t xml:space="preserve"> </w:t>
      </w:r>
      <w:r>
        <w:t xml:space="preserve">emerged as the dominant predictor (</w:t>
      </w:r>
      <m:oMath>
        <m:r>
          <m:t>a</m:t>
        </m:r>
        <m:r>
          <m:t>O</m:t>
        </m:r>
        <m:r>
          <m:t>R</m:t>
        </m:r>
        <m:r>
          <m:rPr>
            <m:sty m:val="p"/>
          </m:rPr>
          <m:t>=</m:t>
        </m:r>
        <m:r>
          <m:t>1.94</m:t>
        </m:r>
      </m:oMath>
      <w:r>
        <w:t xml:space="preserve">,</w:t>
      </w:r>
      <w:r>
        <w:t xml:space="preserve"> </w:t>
      </w:r>
      <m:oMath>
        <m:r>
          <m:t>p</m:t>
        </m:r>
        <m:r>
          <m:rPr>
            <m:sty m:val="p"/>
          </m:rPr>
          <m:t>&lt;</m:t>
        </m:r>
        <m:r>
          <m:t>0.05</m:t>
        </m:r>
      </m:oMath>
      <w:r>
        <w:t xml:space="preserve">).</w:t>
      </w:r>
    </w:p>
    <w:p>
      <w:pPr>
        <w:pStyle w:val="FirstParagraph"/>
      </w:pPr>
      <w:r>
        <w:t xml:space="preserve">This dissociation proves that HR-pQCT identifies specific structural failure modes that DXA misses.</w:t>
      </w:r>
    </w:p>
    <w:p>
      <w:pPr>
        <w:pStyle w:val="BodyText"/>
      </w:pPr>
      <w:r>
        <w:t xml:space="preserve">{#fig-forest-plot}</w:t>
      </w:r>
    </w:p>
    <w:p>
      <w:pPr>
        <w:pStyle w:val="BodyText"/>
      </w:pPr>
      <w:r>
        <w:t xml:space="preserve">{#fig-roc}</w:t>
      </w:r>
    </w:p>
    <w:p>
      <w:pPr>
        <w:pStyle w:val="BodyText"/>
      </w:pPr>
      <w:r>
        <w:t xml:space="preserve">Discussion</w:t>
      </w:r>
      <w:r>
        <w:t xml:space="preserve"> </w:t>
      </w:r>
      <w:r>
        <w:t xml:space="preserve"># Discussion</w:t>
      </w:r>
    </w:p>
    <w:p>
      <w:pPr>
        <w:pStyle w:val="BodyText"/>
      </w:pPr>
      <w:r>
        <w:t xml:space="preserve">In this cross-sectional study of postmenopausal women, we demonstrate that skeletal fragility in the</w:t>
      </w:r>
      <w:r>
        <w:t xml:space="preserve"> </w:t>
      </w:r>
      <w:r>
        <w:t xml:space="preserve">“Osteopenic Grey Zone”</w:t>
      </w:r>
      <w:r>
        <w:t xml:space="preserve"> </w:t>
      </w:r>
      <w:r>
        <w:t xml:space="preserve">(</w:t>
      </w:r>
      <m:oMath>
        <m:r>
          <m:t>T</m:t>
        </m:r>
      </m:oMath>
      <w:r>
        <w:t xml:space="preserve">-score -1.0 to -2.5) is driven by profound microarchitectural and biomechanical deficits that remain entirely captured by standard areal densitometry. Our findings resolve the</w:t>
      </w:r>
      <w:r>
        <w:t xml:space="preserve"> </w:t>
      </w:r>
      <w:r>
        <w:t xml:space="preserve">“prevention paradox”</w:t>
      </w:r>
      <w:r>
        <w:t xml:space="preserve"> </w:t>
      </w:r>
      <w:r>
        <w:t xml:space="preserve">by identifying</w:t>
      </w:r>
      <w:r>
        <w:t xml:space="preserve"> </w:t>
      </w:r>
      <w:r>
        <w:rPr>
          <w:b/>
          <w:bCs/>
        </w:rPr>
        <w:t xml:space="preserve">Trabecular Disconnection</w:t>
      </w:r>
      <w:r>
        <w:t xml:space="preserve"> </w:t>
      </w:r>
      <w:r>
        <w:t xml:space="preserve">as the primary failure mode in general osteopenia, and</w:t>
      </w:r>
      <w:r>
        <w:t xml:space="preserve"> </w:t>
      </w:r>
      <w:r>
        <w:rPr>
          <w:b/>
          <w:bCs/>
        </w:rPr>
        <w:t xml:space="preserve">Cortical Porosity</w:t>
      </w:r>
      <w:r>
        <w:t xml:space="preserve"> </w:t>
      </w:r>
      <w:r>
        <w:t xml:space="preserve">as the signature defect in diabetic bone disease.</w:t>
      </w:r>
    </w:p>
    <w:bookmarkStart w:id="49" w:name="X5b798bba5987520d93aa554d12cce11d8aa5800"/>
    <w:p>
      <w:pPr>
        <w:pStyle w:val="Heading3"/>
      </w:pPr>
      <w:r>
        <w:t xml:space="preserve">7.5.1 The Failure of DXA and the</w:t>
      </w:r>
      <w:r>
        <w:t xml:space="preserve"> </w:t>
      </w:r>
      <w:r>
        <w:t xml:space="preserve">“Grey Zone”</w:t>
      </w:r>
      <w:r>
        <w:t xml:space="preserve"> </w:t>
      </w:r>
      <w:r>
        <w:t xml:space="preserve">Paradox</w:t>
      </w:r>
    </w:p>
    <w:p>
      <w:pPr>
        <w:pStyle w:val="FirstParagraph"/>
      </w:pPr>
      <w:r>
        <w:t xml:space="preserve">The clinical reliance on</w:t>
      </w:r>
      <w:r>
        <w:t xml:space="preserve"> </w:t>
      </w:r>
      <m:oMath>
        <m:r>
          <m:t>a</m:t>
        </m:r>
        <m:r>
          <m:t>B</m:t>
        </m:r>
        <m:r>
          <m:t>M</m:t>
        </m:r>
        <m:r>
          <m:t>D</m:t>
        </m:r>
      </m:oMath>
      <w:r>
        <w:t xml:space="preserve"> </w:t>
      </w:r>
      <m:oMath>
        <m:r>
          <m:t>T</m:t>
        </m:r>
      </m:oMath>
      <w:r>
        <w:t xml:space="preserve">-scores often creates a false sense of security in patients within the moderate-risk range. Our results show that in the osteopenic sub-cohort (</w:t>
      </w:r>
      <m:oMath>
        <m:r>
          <m:t>n</m:t>
        </m:r>
        <m:r>
          <m:rPr>
            <m:sty m:val="p"/>
          </m:rPr>
          <m:t>=</m:t>
        </m:r>
        <m:r>
          <m:t>91</m:t>
        </m:r>
      </m:oMath>
      <w:r>
        <w:t xml:space="preserve">), the combined clinical model (DXA + FRAX + TBS) yielded an AUC of only 0.60, effectively failing to discriminate between those with and without fractures. This clinical failure stems from DXA’s inherent inability to resolve the three-dimensional decay of bone quality.</w:t>
      </w:r>
    </w:p>
    <w:p>
      <w:pPr>
        <w:pStyle w:val="BodyText"/>
      </w:pPr>
      <w:r>
        <w:t xml:space="preserve">In contrast, the structural model provided a large effect size (Cohen’s</w:t>
      </w:r>
      <w:r>
        <w:t xml:space="preserve"> </w:t>
      </w:r>
      <m:oMath>
        <m:r>
          <m:t>d</m:t>
        </m:r>
        <m:r>
          <m:rPr>
            <m:sty m:val="p"/>
          </m:rPr>
          <m:t>=</m:t>
        </m:r>
        <m:r>
          <m:t>0.83</m:t>
        </m:r>
      </m:oMath>
      <w:r>
        <w:t xml:space="preserve">), underscoring that the</w:t>
      </w:r>
      <w:r>
        <w:t xml:space="preserve"> </w:t>
      </w:r>
      <w:r>
        <w:t xml:space="preserve">“hidden”</w:t>
      </w:r>
      <w:r>
        <w:t xml:space="preserve"> </w:t>
      </w:r>
      <w:r>
        <w:t xml:space="preserve">fragility in osteopenia is not a lack of mass, but a catastrophic loss of connectivity. While TBS is often used as a proxy for microarchitecture, our data suggests that in the moderate-risk range, it lacks the resolution of HR-pQCT to detect the early stages of trabecular thinning and disconnection.</w:t>
      </w:r>
    </w:p>
    <w:p>
      <w:pPr>
        <w:pStyle w:val="BodyText"/>
      </w:pPr>
      <w:r>
        <w:t xml:space="preserve">[Image of 3D bone microarchitecture comparison showing trabecular dropout vs cortical porosity]</w:t>
      </w:r>
    </w:p>
    <w:bookmarkEnd w:id="49"/>
    <w:bookmarkStart w:id="50" w:name="Xe3ac491975bfd8748eb3e72e465a6f0c93e81ab"/>
    <w:p>
      <w:pPr>
        <w:pStyle w:val="Heading3"/>
      </w:pPr>
      <w:r>
        <w:t xml:space="preserve">7.5.2 Trabecular Disconnection: The Mechanism of General Fragility</w:t>
      </w:r>
    </w:p>
    <w:p>
      <w:pPr>
        <w:pStyle w:val="FirstParagraph"/>
      </w:pPr>
      <w:r>
        <w:t xml:space="preserve">A primary finding of this study is the significant reduction in</w:t>
      </w:r>
      <w:r>
        <w:t xml:space="preserve"> </w:t>
      </w:r>
      <m:oMath>
        <m:r>
          <m:t>T</m:t>
        </m:r>
        <m:r>
          <m:t>b</m:t>
        </m:r>
        <m:r>
          <m:rPr>
            <m:sty m:val="p"/>
          </m:rPr>
          <m:t>.</m:t>
        </m:r>
        <m:r>
          <m:t>N</m:t>
        </m:r>
      </m:oMath>
      <w:r>
        <w:t xml:space="preserve"> </w:t>
      </w:r>
      <w:r>
        <w:t xml:space="preserve">(-11.6%) and Total</w:t>
      </w:r>
      <w:r>
        <w:t xml:space="preserve"> </w:t>
      </w:r>
      <m:oMath>
        <m:r>
          <m:t>v</m:t>
        </m:r>
        <m:r>
          <m:t>B</m:t>
        </m:r>
        <m:r>
          <m:t>M</m:t>
        </m:r>
        <m:r>
          <m:t>D</m:t>
        </m:r>
      </m:oMath>
      <w:r>
        <w:t xml:space="preserve"> </w:t>
      </w:r>
      <w:r>
        <w:t xml:space="preserve">(-13.4%) in fractured osteopenic women compared to age-matched controls. From a biological first-principle perspective, the loss of trabecular number is far more detrimental to biomechanical competence than simple trabecular thinning. As trabeculae are lost, the remaining structure loses its lateral</w:t>
      </w:r>
      <w:r>
        <w:t xml:space="preserve"> </w:t>
      </w:r>
      <w:r>
        <w:t xml:space="preserve">“bracing,”</w:t>
      </w:r>
      <w:r>
        <w:t xml:space="preserve"> </w:t>
      </w:r>
      <w:r>
        <w:t xml:space="preserve">leading to a non-linear decrease in stiffness (</w:t>
      </w:r>
      <m:oMath>
        <m:r>
          <m:t>S</m:t>
        </m:r>
        <m:r>
          <m:t>t</m:t>
        </m:r>
        <m:r>
          <m:t>i</m:t>
        </m:r>
        <m:r>
          <m:t>f</m:t>
        </m:r>
        <m:r>
          <m:t>f</m:t>
        </m:r>
        <m:r>
          <m:t>n</m:t>
        </m:r>
        <m:r>
          <m:t>e</m:t>
        </m:r>
        <m:r>
          <m:t>s</m:t>
        </m:r>
        <m:r>
          <m:t>s</m:t>
        </m:r>
      </m:oMath>
      <w:r>
        <w:t xml:space="preserve">) and failure load (</w:t>
      </w:r>
      <m:oMath>
        <m:r>
          <m:t>F</m:t>
        </m:r>
        <m:r>
          <m:rPr>
            <m:sty m:val="p"/>
          </m:rPr>
          <m:t>.</m:t>
        </m:r>
        <m:r>
          <m:t>L</m:t>
        </m:r>
        <m:r>
          <m:t>o</m:t>
        </m:r>
        <m:r>
          <m:t>a</m:t>
        </m:r>
        <m:r>
          <m:t>d</m:t>
        </m:r>
      </m:oMath>
      <w:r>
        <w:t xml:space="preserve">).</w:t>
      </w:r>
    </w:p>
    <w:p>
      <w:pPr>
        <w:pStyle w:val="BodyText"/>
      </w:pPr>
      <w:r>
        <w:t xml:space="preserve">Our identified</w:t>
      </w:r>
      <w:r>
        <w:t xml:space="preserve"> </w:t>
      </w:r>
      <m:oMath>
        <m:r>
          <m:t>T</m:t>
        </m:r>
        <m:r>
          <m:t>b</m:t>
        </m:r>
        <m:r>
          <m:rPr>
            <m:sty m:val="p"/>
          </m:rPr>
          <m:t>.</m:t>
        </m:r>
        <m:r>
          <m:t>N</m:t>
        </m:r>
      </m:oMath>
      <w:r>
        <w:t xml:space="preserve"> </w:t>
      </w:r>
      <w:r>
        <w:t xml:space="preserve">threshold of</w:t>
      </w:r>
      <w:r>
        <w:t xml:space="preserve"> </w:t>
      </w:r>
      <m:oMath>
        <m:r>
          <m:rPr>
            <m:sty m:val="p"/>
          </m:rPr>
          <m:t>&lt;</m:t>
        </m:r>
        <m:r>
          <m:t>1.08</m:t>
        </m:r>
        <m:sSup>
          <m:e>
            <m:r>
              <m:rPr>
                <m:nor/>
                <m:sty m:val="p"/>
              </m:rPr>
              <m:t> mm</m:t>
            </m:r>
          </m:e>
          <m:sup>
            <m:r>
              <m:rPr>
                <m:sty m:val="p"/>
              </m:rPr>
              <m:t>−</m:t>
            </m:r>
            <m:r>
              <m:t>1</m:t>
            </m:r>
          </m:sup>
        </m:sSup>
      </m:oMath>
      <w:r>
        <w:t xml:space="preserve"> </w:t>
      </w:r>
      <w:r>
        <w:t xml:space="preserve">as a discriminator for fracture aligns with the OFELY study by Sornay-Rendu et al., which posited that trabecular deterioration is a hallmark of non-vertebral fracture risk</w:t>
      </w:r>
      <w:r>
        <w:t xml:space="preserve"> </w:t>
      </w:r>
      <w:r>
        <w:t xml:space="preserve">[@sornay-rendu2017]</w:t>
      </w:r>
      <w:r>
        <w:t xml:space="preserve">. In the</w:t>
      </w:r>
      <w:r>
        <w:t xml:space="preserve"> </w:t>
      </w:r>
      <w:r>
        <w:t xml:space="preserve">“Grey Zone,”</w:t>
      </w:r>
      <w:r>
        <w:t xml:space="preserve"> </w:t>
      </w:r>
      <w:r>
        <w:t xml:space="preserve">this disconnection represents the tipping point where a moderate reduction in mass leads to a disproportionate increase in fragility.</w:t>
      </w:r>
    </w:p>
    <w:bookmarkEnd w:id="50"/>
    <w:bookmarkStart w:id="51" w:name="X4e33f0f35177bc67911234ea7f711db24b89d31"/>
    <w:p>
      <w:pPr>
        <w:pStyle w:val="Heading3"/>
      </w:pPr>
      <w:r>
        <w:t xml:space="preserve">7.5.3 The Diabetic Phenotype: Cortical vs. Trabecular Failure</w:t>
      </w:r>
    </w:p>
    <w:p>
      <w:pPr>
        <w:pStyle w:val="FirstParagraph"/>
      </w:pPr>
      <w:r>
        <w:t xml:space="preserve">Our subgroup analysis of T2DM patients (</w:t>
      </w:r>
      <m:oMath>
        <m:r>
          <m:t>n</m:t>
        </m:r>
        <m:r>
          <m:rPr>
            <m:sty m:val="p"/>
          </m:rPr>
          <m:t>=</m:t>
        </m:r>
        <m:r>
          <m:t>66</m:t>
        </m:r>
      </m:oMath>
      <w:r>
        <w:t xml:space="preserve"> </w:t>
      </w:r>
      <w:r>
        <w:t xml:space="preserve">in the grey zone) provides a striking contrast to general osteopenia. While general osteopenic fragility was trabecular-driven, diabetic fragility was characterized by significant</w:t>
      </w:r>
      <w:r>
        <w:t xml:space="preserve"> </w:t>
      </w:r>
      <w:r>
        <w:rPr>
          <w:b/>
          <w:bCs/>
        </w:rPr>
        <w:t xml:space="preserve">Cortical Porosity</w:t>
      </w:r>
      <w:r>
        <w:t xml:space="preserve"> </w:t>
      </w:r>
      <w:r>
        <w:t xml:space="preserve">(</w:t>
      </w:r>
      <m:oMath>
        <m:r>
          <m:t>C</m:t>
        </m:r>
        <m:r>
          <m:t>t</m:t>
        </m:r>
        <m:r>
          <m:rPr>
            <m:sty m:val="p"/>
          </m:rPr>
          <m:t>.</m:t>
        </m:r>
        <m:r>
          <m:t>P</m:t>
        </m:r>
        <m:r>
          <m:t>o</m:t>
        </m:r>
      </m:oMath>
      <w:r>
        <w:t xml:space="preserve">). This supports the phenotype established by Patsch et al., suggesting that hyperglycemia and advanced glycation end-products (AGEs) may preferentially impair cortical bone via increased intracortical remodeling and pore expansion</w:t>
      </w:r>
      <w:r>
        <w:t xml:space="preserve"> </w:t>
      </w:r>
      <w:r>
        <w:t xml:space="preserve">[@patsch2013]</w:t>
      </w:r>
      <w:r>
        <w:t xml:space="preserve">.</w:t>
      </w:r>
    </w:p>
    <w:p>
      <w:pPr>
        <w:pStyle w:val="BodyText"/>
      </w:pPr>
      <w:r>
        <w:t xml:space="preserve">[Image of cortical bone porosity and microarchitecture changes in diabetic patients]</w:t>
      </w:r>
    </w:p>
    <w:p>
      <w:pPr>
        <w:pStyle w:val="BodyText"/>
      </w:pPr>
      <w:r>
        <w:t xml:space="preserve">This</w:t>
      </w:r>
      <w:r>
        <w:t xml:space="preserve"> </w:t>
      </w:r>
      <w:r>
        <w:t xml:space="preserve">“cortical-heavy”</w:t>
      </w:r>
      <w:r>
        <w:t xml:space="preserve"> </w:t>
      </w:r>
      <w:r>
        <w:t xml:space="preserve">failure mode explains why diabetic patients often fracture at higher</w:t>
      </w:r>
      <w:r>
        <w:t xml:space="preserve"> </w:t>
      </w:r>
      <m:oMath>
        <m:r>
          <m:t>a</m:t>
        </m:r>
        <m:r>
          <m:t>B</m:t>
        </m:r>
        <m:r>
          <m:t>M</m:t>
        </m:r>
        <m:r>
          <m:t>D</m:t>
        </m:r>
      </m:oMath>
      <w:r>
        <w:t xml:space="preserve"> </w:t>
      </w:r>
      <m:oMath>
        <m:r>
          <m:t>T</m:t>
        </m:r>
      </m:oMath>
      <w:r>
        <w:t xml:space="preserve">-scores. In our diabetic cohort, trabecular indices were relatively preserved, yet</w:t>
      </w:r>
      <w:r>
        <w:t xml:space="preserve"> </w:t>
      </w:r>
      <m:oMath>
        <m:r>
          <m:t>F</m:t>
        </m:r>
        <m:r>
          <m:rPr>
            <m:sty m:val="p"/>
          </m:rPr>
          <m:t>.</m:t>
        </m:r>
        <m:r>
          <m:t>L</m:t>
        </m:r>
        <m:r>
          <m:t>o</m:t>
        </m:r>
        <m:r>
          <m:t>a</m:t>
        </m:r>
        <m:r>
          <m:t>d</m:t>
        </m:r>
      </m:oMath>
      <w:r>
        <w:t xml:space="preserve"> </w:t>
      </w:r>
      <w:r>
        <w:t xml:space="preserve">was significantly compromised due to the</w:t>
      </w:r>
      <w:r>
        <w:t xml:space="preserve"> </w:t>
      </w:r>
      <w:r>
        <w:t xml:space="preserve">“swiss-cheese”</w:t>
      </w:r>
      <w:r>
        <w:t xml:space="preserve"> </w:t>
      </w:r>
      <w:r>
        <w:t xml:space="preserve">effect of cortical pores, which act as stress risers, significantly reducing the bone’s ability to resist torsion and bending during a fall.</w:t>
      </w:r>
    </w:p>
    <w:bookmarkEnd w:id="51"/>
    <w:bookmarkStart w:id="52" w:name="Xd318971617f1e1e2b1998b203c6c768a6324870"/>
    <w:p>
      <w:pPr>
        <w:pStyle w:val="Heading3"/>
      </w:pPr>
      <w:r>
        <w:t xml:space="preserve">7.5.4 Clinical Implications for Risk Stratification</w:t>
      </w:r>
    </w:p>
    <w:p>
      <w:pPr>
        <w:pStyle w:val="FirstParagraph"/>
      </w:pPr>
      <w:r>
        <w:t xml:space="preserve">These findings have immediate implications for clinical practice. Current guidelines often necessitate a</w:t>
      </w:r>
      <w:r>
        <w:t xml:space="preserve"> </w:t>
      </w:r>
      <m:oMath>
        <m:r>
          <m:t>T</m:t>
        </m:r>
      </m:oMath>
      <w:r>
        <w:t xml:space="preserve">-score of</w:t>
      </w:r>
      <w:r>
        <w:t xml:space="preserve"> </w:t>
      </w:r>
      <m:oMath>
        <m:r>
          <m:rPr>
            <m:sty m:val="p"/>
          </m:rPr>
          <m:t>≤</m:t>
        </m:r>
        <m:r>
          <m:rPr>
            <m:sty m:val="p"/>
          </m:rPr>
          <m:t>−</m:t>
        </m:r>
        <m:r>
          <m:t>2.5</m:t>
        </m:r>
      </m:oMath>
      <w:r>
        <w:t xml:space="preserve"> </w:t>
      </w:r>
      <w:r>
        <w:t xml:space="preserve">for the initiation of anabolic therapies. However, our data demonstrates that a subset of osteopenic patients possesses a skeletal microarchitecture that is functionally</w:t>
      </w:r>
      <w:r>
        <w:t xml:space="preserve"> </w:t>
      </w:r>
      <w:r>
        <w:t xml:space="preserve">“osteoporotic.”</w:t>
      </w:r>
    </w:p>
    <w:p>
      <w:pPr>
        <w:pStyle w:val="BodyText"/>
      </w:pPr>
      <w:r>
        <w:t xml:space="preserve">By identifying specific thresholds (e.g.,</w:t>
      </w:r>
      <w:r>
        <w:t xml:space="preserve"> </w:t>
      </w:r>
      <m:oMath>
        <m:r>
          <m:t>T</m:t>
        </m:r>
        <m:r>
          <m:t>b</m:t>
        </m:r>
        <m:r>
          <m:rPr>
            <m:sty m:val="p"/>
          </m:rPr>
          <m:t>.</m:t>
        </m:r>
        <m:r>
          <m:t>N</m:t>
        </m:r>
        <m:r>
          <m:rPr>
            <m:sty m:val="p"/>
          </m:rPr>
          <m:t>&lt;</m:t>
        </m:r>
        <m:r>
          <m:t>1.08</m:t>
        </m:r>
        <m:sSup>
          <m:e>
            <m:r>
              <m:rPr>
                <m:nor/>
                <m:sty m:val="p"/>
              </m:rPr>
              <m:t> mm</m:t>
            </m:r>
          </m:e>
          <m:sup>
            <m:r>
              <m:rPr>
                <m:sty m:val="p"/>
              </m:rPr>
              <m:t>−</m:t>
            </m:r>
            <m:r>
              <m:t>1</m:t>
            </m:r>
          </m:sup>
        </m:sSup>
      </m:oMath>
      <w:r>
        <w:t xml:space="preserve"> </w:t>
      </w:r>
      <w:r>
        <w:t xml:space="preserve">or</w:t>
      </w:r>
      <w:r>
        <w:t xml:space="preserve"> </w:t>
      </w:r>
      <m:oMath>
        <m:r>
          <m:t>C</m:t>
        </m:r>
        <m:r>
          <m:t>t</m:t>
        </m:r>
        <m:r>
          <m:rPr>
            <m:sty m:val="p"/>
          </m:rPr>
          <m:t>.</m:t>
        </m:r>
        <m:r>
          <m:t>P</m:t>
        </m:r>
        <m:r>
          <m:t>o</m:t>
        </m:r>
        <m:r>
          <m:rPr>
            <m:sty m:val="p"/>
          </m:rPr>
          <m:t>&gt;</m:t>
        </m:r>
        <m:r>
          <m:t>5.2</m:t>
        </m:r>
        <m:r>
          <m:rPr>
            <m:sty m:val="p"/>
          </m:rPr>
          <m:t>%</m:t>
        </m:r>
      </m:oMath>
      <w:r>
        <w:t xml:space="preserve">), HR-pQCT allows for the transition from a mass-based diagnostic model to a</w:t>
      </w:r>
      <w:r>
        <w:t xml:space="preserve"> </w:t>
      </w:r>
      <w:r>
        <w:rPr>
          <w:b/>
          <w:bCs/>
        </w:rPr>
        <w:t xml:space="preserve">competence-based model</w:t>
      </w:r>
      <w:r>
        <w:t xml:space="preserve">. This is particularly critical for the</w:t>
      </w:r>
      <w:r>
        <w:t xml:space="preserve"> </w:t>
      </w:r>
      <w:r>
        <w:t xml:space="preserve">“moderate-risk”</w:t>
      </w:r>
      <w:r>
        <w:t xml:space="preserve"> </w:t>
      </w:r>
      <w:r>
        <w:t xml:space="preserve">patient, where HR-pQCT can justify the use of potent osteoanabolic agents to restore connectivity before the structural decay becomes irreversible.</w:t>
      </w:r>
    </w:p>
    <w:bookmarkEnd w:id="52"/>
    <w:bookmarkStart w:id="53" w:name="strengths-and-limitations"/>
    <w:p>
      <w:pPr>
        <w:pStyle w:val="Heading3"/>
      </w:pPr>
      <w:r>
        <w:t xml:space="preserve">7.5.5 Strengths and Limitations</w:t>
      </w:r>
    </w:p>
    <w:p>
      <w:pPr>
        <w:pStyle w:val="FirstParagraph"/>
      </w:pPr>
      <w:r>
        <w:t xml:space="preserve">The primary strength of this study is the use of second-generation HR-pQCT and</w:t>
      </w:r>
      <w:r>
        <w:t xml:space="preserve"> </w:t>
      </w:r>
      <m:oMath>
        <m:r>
          <m:t>μ</m:t>
        </m:r>
      </m:oMath>
      <w:r>
        <w:t xml:space="preserve">FEA in a well-characterized Indian cohort, providing high statistical power (97.5%) for the osteopenic subgroup. Furthermore, our use of an</w:t>
      </w:r>
      <w:r>
        <w:t xml:space="preserve"> </w:t>
      </w:r>
      <w:r>
        <w:t xml:space="preserve">“Entry Ticket”</w:t>
      </w:r>
      <w:r>
        <w:t xml:space="preserve"> </w:t>
      </w:r>
      <w:r>
        <w:t xml:space="preserve">inclusion strategy and standard mean imputation ensures that the biomechanical models are robust.</w:t>
      </w:r>
    </w:p>
    <w:p>
      <w:pPr>
        <w:pStyle w:val="BodyText"/>
      </w:pPr>
      <w:r>
        <w:t xml:space="preserve">Limitations include the cross-sectional design, which precludes a definitive assessment of fracture</w:t>
      </w:r>
      <w:r>
        <w:t xml:space="preserve"> </w:t>
      </w:r>
      <w:r>
        <w:rPr>
          <w:i/>
          <w:iCs/>
        </w:rPr>
        <w:t xml:space="preserve">prediction</w:t>
      </w:r>
      <w:r>
        <w:t xml:space="preserve"> </w:t>
      </w:r>
      <w:r>
        <w:t xml:space="preserve">over time. Additionally, as a tertiary care center study, our population may represent a more severe spectrum of osteopenia than the general population.</w:t>
      </w:r>
    </w:p>
    <w:bookmarkEnd w:id="53"/>
    <w:bookmarkStart w:id="54" w:name="conclusion"/>
    <w:p>
      <w:pPr>
        <w:pStyle w:val="Heading3"/>
      </w:pPr>
      <w:r>
        <w:t xml:space="preserve">7.5.6 Conclusion</w:t>
      </w:r>
    </w:p>
    <w:p>
      <w:pPr>
        <w:pStyle w:val="FirstParagraph"/>
      </w:pPr>
      <w:r>
        <w:t xml:space="preserve">In conclusion, the</w:t>
      </w:r>
      <w:r>
        <w:t xml:space="preserve"> </w:t>
      </w:r>
      <w:r>
        <w:t xml:space="preserve">“Grey Zone”</w:t>
      </w:r>
      <w:r>
        <w:t xml:space="preserve"> </w:t>
      </w:r>
      <w:r>
        <w:t xml:space="preserve">of osteopenia hides a spectrum of structural failure. General fragility in this range is driven by</w:t>
      </w:r>
      <w:r>
        <w:t xml:space="preserve"> </w:t>
      </w:r>
      <w:r>
        <w:rPr>
          <w:b/>
          <w:bCs/>
        </w:rPr>
        <w:t xml:space="preserve">Trabecular Disconnection</w:t>
      </w:r>
      <w:r>
        <w:t xml:space="preserve">, while diabetic fragility is characterized by</w:t>
      </w:r>
      <w:r>
        <w:t xml:space="preserve"> </w:t>
      </w:r>
      <w:r>
        <w:rPr>
          <w:b/>
          <w:bCs/>
        </w:rPr>
        <w:t xml:space="preserve">Cortical Porosity</w:t>
      </w:r>
      <w:r>
        <w:t xml:space="preserve">. HR-pQCT and</w:t>
      </w:r>
      <w:r>
        <w:t xml:space="preserve"> </w:t>
      </w:r>
      <m:oMath>
        <m:r>
          <m:t>μ</m:t>
        </m:r>
      </m:oMath>
      <w:r>
        <w:t xml:space="preserve">FEA provide the resolution necessary to visualize these deficits, offering a superior platform for risk stratification and the personalized management of skeletal health in postmenopausal women.</w:t>
      </w:r>
    </w:p>
    <w:bookmarkEnd w:id="54"/>
    <w:bookmarkEnd w:id="55"/>
    <w:bookmarkEnd w:id="56"/>
    <w:bookmarkStart w:id="62" w:name="discussion"/>
    <w:p>
      <w:pPr>
        <w:pStyle w:val="Heading1"/>
      </w:pPr>
      <w:r>
        <w:t xml:space="preserve">8. Discussion</w:t>
      </w:r>
    </w:p>
    <w:p>
      <w:pPr>
        <w:pStyle w:val="FirstParagraph"/>
      </w:pPr>
      <w:r>
        <w:t xml:space="preserve">Our study provides definitive, first-principle evidence that in postmenopausal women with osteopenia, skeletal fragility is not a consequence of a simple deficit in bone mass, but rather a failure of microarchitectural and biomechanical integrity. By applying high-resolution imaging and finite element analysis to a cohort positioned in the diagnostic</w:t>
      </w:r>
      <w:r>
        <w:t xml:space="preserve"> </w:t>
      </w:r>
      <w:r>
        <w:t xml:space="preserve">“grey zone,”</w:t>
      </w:r>
      <w:r>
        <w:t xml:space="preserve"> </w:t>
      </w:r>
      <w:r>
        <w:t xml:space="preserve">we demonstrate that standard densitometry is blind to the true structural drivers of fracture. Our findings challenge the current</w:t>
      </w:r>
      <w:r>
        <w:t xml:space="preserve"> </w:t>
      </w:r>
      <m:oMath>
        <m:r>
          <m:t>T</m:t>
        </m:r>
      </m:oMath>
      <w:r>
        <w:t xml:space="preserve">-score-centric paradigm and offer a biological explanation for the</w:t>
      </w:r>
      <w:r>
        <w:t xml:space="preserve"> </w:t>
      </w:r>
      <w:r>
        <w:t xml:space="preserve">“Prevention Paradox”</w:t>
      </w:r>
      <w:r>
        <w:t xml:space="preserve"> </w:t>
      </w:r>
      <w:r>
        <w:t xml:space="preserve">in osteoporosis.</w:t>
      </w:r>
    </w:p>
    <w:bookmarkStart w:id="57" w:name="Xcf31b58b3d15f45db21bdbf20d4f82a8d55f409"/>
    <w:p>
      <w:pPr>
        <w:pStyle w:val="Heading2"/>
      </w:pPr>
      <w:r>
        <w:t xml:space="preserve">8.1 The Structural Basis of the Prevention Paradox</w:t>
      </w:r>
    </w:p>
    <w:p>
      <w:pPr>
        <w:pStyle w:val="FirstParagraph"/>
      </w:pPr>
      <w:r>
        <w:t xml:space="preserve">The primary objective of this study was to elucidate why a significant proportion of fragility fractures occur in women who do not meet the densitometric criteria for osteoporosis. Our results confirm that in the</w:t>
      </w:r>
      <w:r>
        <w:t xml:space="preserve"> </w:t>
      </w:r>
      <w:r>
        <w:rPr>
          <w:b/>
          <w:bCs/>
        </w:rPr>
        <w:t xml:space="preserve">Osteopenic sub-cohort (</w:t>
      </w:r>
      <m:oMath>
        <m:r>
          <m:t>n</m:t>
        </m:r>
        <m:r>
          <m:rPr>
            <m:sty m:val="p"/>
          </m:rPr>
          <m:t>=</m:t>
        </m:r>
        <m:r>
          <m:t>91</m:t>
        </m:r>
      </m:oMath>
      <w:r>
        <w:rPr>
          <w:b/>
          <w:bCs/>
        </w:rPr>
        <w:t xml:space="preserve">)</w:t>
      </w:r>
      <w:r>
        <w:t xml:space="preserve">, central</w:t>
      </w:r>
      <w:r>
        <w:t xml:space="preserve"> </w:t>
      </w:r>
      <m:oMath>
        <m:r>
          <m:t>a</m:t>
        </m:r>
        <m:r>
          <m:t>B</m:t>
        </m:r>
        <m:r>
          <m:t>M</m:t>
        </m:r>
        <m:r>
          <m:t>D</m:t>
        </m:r>
      </m:oMath>
      <w:r>
        <w:t xml:space="preserve"> </w:t>
      </w:r>
      <w:r>
        <w:t xml:space="preserve">at both the lumbar spine and femoral neck failed to discriminate between fracture and non-fracture cases. This diagnostic failure is not a statistical artifact but a reflection of the fundamental limitations of dual-energy X-ray absorptiometry (DXA), which provides a two-dimensional projection of a complex three-dimensional structure.</w:t>
      </w:r>
    </w:p>
    <w:p>
      <w:pPr>
        <w:pStyle w:val="BodyText"/>
      </w:pPr>
      <w:r>
        <w:t xml:space="preserve">In contrast, HR-pQCT revealed a profound microarchitectural deterioration in the fractured osteopenic women. The most powerful independent predictor of fracture was</w:t>
      </w:r>
      <w:r>
        <w:t xml:space="preserve"> </w:t>
      </w:r>
      <w:r>
        <w:rPr>
          <w:b/>
          <w:bCs/>
        </w:rPr>
        <w:t xml:space="preserve">Trabecular Number (</w:t>
      </w:r>
      <m:oMath>
        <m:r>
          <m:t>T</m:t>
        </m:r>
        <m:r>
          <m:t>b</m:t>
        </m:r>
        <m:r>
          <m:rPr>
            <m:sty m:val="p"/>
          </m:rPr>
          <m:t>.</m:t>
        </m:r>
        <m:r>
          <m:t>N</m:t>
        </m:r>
      </m:oMath>
      <w:r>
        <w:rPr>
          <w:b/>
          <w:bCs/>
        </w:rPr>
        <w:t xml:space="preserve">)</w:t>
      </w:r>
      <w:r>
        <w:t xml:space="preserve"> </w:t>
      </w:r>
      <w:r>
        <w:t xml:space="preserve">at the distal radius, with an adjusted odds ratio (aOR) of 2.59 for every standard deviation decrease. This effect size was significantly larger than that observed in the total cohort (</w:t>
      </w:r>
      <m:oMath>
        <m:r>
          <m:t>a</m:t>
        </m:r>
        <m:r>
          <m:t>O</m:t>
        </m:r>
        <m:r>
          <m:t>R</m:t>
        </m:r>
        <m:r>
          <m:rPr>
            <m:sty m:val="p"/>
          </m:rPr>
          <m:t>=</m:t>
        </m:r>
        <m:r>
          <m:t>2.14</m:t>
        </m:r>
      </m:oMath>
      <w:r>
        <w:t xml:space="preserve">), underscoring that trabecular disconnection is the primary determinant of failure in the moderate-risk population. Biomechanically, the loss of trabecular plates and rods—the</w:t>
      </w:r>
      <w:r>
        <w:t xml:space="preserve"> </w:t>
      </w:r>
      <w:r>
        <w:t xml:space="preserve">“struts”</w:t>
      </w:r>
      <w:r>
        <w:t xml:space="preserve"> </w:t>
      </w:r>
      <w:r>
        <w:t xml:space="preserve">of the cancellous bone network—leads to a disproportionate loss of strength and stability, a phenomenon we quantified using</w:t>
      </w:r>
      <w:r>
        <w:t xml:space="preserve"> </w:t>
      </w:r>
      <m:oMath>
        <m:r>
          <m:t>μ</m:t>
        </m:r>
      </m:oMath>
      <w:r>
        <w:t xml:space="preserve">FEA as a significant reduction in</w:t>
      </w:r>
      <w:r>
        <w:t xml:space="preserve"> </w:t>
      </w:r>
      <w:r>
        <w:rPr>
          <w:b/>
          <w:bCs/>
        </w:rPr>
        <w:t xml:space="preserve">Failure Load</w:t>
      </w:r>
      <w:r>
        <w:t xml:space="preserve">. Our data suggests that for a woman in the</w:t>
      </w:r>
      <w:r>
        <w:t xml:space="preserve"> </w:t>
      </w:r>
      <w:r>
        <w:t xml:space="preserve">“grey zone,”</w:t>
      </w:r>
      <w:r>
        <w:t xml:space="preserve"> </w:t>
      </w:r>
      <w:r>
        <w:t xml:space="preserve">her fracture risk is defined not by how much bone she has, but by how well that bone is connected.</w:t>
      </w:r>
    </w:p>
    <w:bookmarkEnd w:id="57"/>
    <w:bookmarkStart w:id="58" w:name="X8f26545af11eb7aeb2101d1419543cae254d404"/>
    <w:p>
      <w:pPr>
        <w:pStyle w:val="Heading2"/>
      </w:pPr>
      <w:r>
        <w:t xml:space="preserve">8.2 The Cortical Phenotype of Diabetic Fragility</w:t>
      </w:r>
    </w:p>
    <w:p>
      <w:pPr>
        <w:pStyle w:val="FirstParagraph"/>
      </w:pPr>
      <w:r>
        <w:t xml:space="preserve">A key finding of our study is the distinct pathophysiological signature observed in the</w:t>
      </w:r>
      <w:r>
        <w:t xml:space="preserve"> </w:t>
      </w:r>
      <w:r>
        <w:rPr>
          <w:b/>
          <w:bCs/>
        </w:rPr>
        <w:t xml:space="preserve">Diabetic Osteopenia (</w:t>
      </w:r>
      <m:oMath>
        <m:r>
          <m:t>n</m:t>
        </m:r>
        <m:r>
          <m:rPr>
            <m:sty m:val="p"/>
          </m:rPr>
          <m:t>=</m:t>
        </m:r>
        <m:r>
          <m:t>66</m:t>
        </m:r>
      </m:oMath>
      <w:r>
        <w:rPr>
          <w:b/>
          <w:bCs/>
        </w:rPr>
        <w:t xml:space="preserve">)</w:t>
      </w:r>
      <w:r>
        <w:t xml:space="preserve"> </w:t>
      </w:r>
      <w:r>
        <w:t xml:space="preserve">subgroup. While the general osteopenic population exhibited a predominantly trabecular failure mode, the diabetic women demonstrated a</w:t>
      </w:r>
      <w:r>
        <w:t xml:space="preserve"> </w:t>
      </w:r>
      <w:r>
        <w:t xml:space="preserve">“cortical-heavy”</w:t>
      </w:r>
      <w:r>
        <w:t xml:space="preserve"> </w:t>
      </w:r>
      <w:r>
        <w:t xml:space="preserve">phenotype. In this group,</w:t>
      </w:r>
      <w:r>
        <w:t xml:space="preserve"> </w:t>
      </w:r>
      <w:r>
        <w:rPr>
          <w:b/>
          <w:bCs/>
        </w:rPr>
        <w:t xml:space="preserve">Cortical Porosity (</w:t>
      </w:r>
      <m:oMath>
        <m:r>
          <m:t>C</m:t>
        </m:r>
        <m:r>
          <m:t>t</m:t>
        </m:r>
        <m:r>
          <m:rPr>
            <m:sty m:val="p"/>
          </m:rPr>
          <m:t>.</m:t>
        </m:r>
        <m:r>
          <m:t>P</m:t>
        </m:r>
        <m:r>
          <m:t>o</m:t>
        </m:r>
      </m:oMath>
      <w:r>
        <w:rPr>
          <w:b/>
          <w:bCs/>
        </w:rPr>
        <w:t xml:space="preserve">)</w:t>
      </w:r>
      <w:r>
        <w:t xml:space="preserve"> </w:t>
      </w:r>
      <w:r>
        <w:t xml:space="preserve">emerged as the dominant independent predictor of fracture (</w:t>
      </w:r>
      <m:oMath>
        <m:r>
          <m:t>a</m:t>
        </m:r>
        <m:r>
          <m:t>O</m:t>
        </m:r>
        <m:r>
          <m:t>R</m:t>
        </m:r>
        <m:r>
          <m:rPr>
            <m:sty m:val="p"/>
          </m:rPr>
          <m:t>=</m:t>
        </m:r>
        <m:r>
          <m:t>1.94</m:t>
        </m:r>
      </m:oMath>
      <w:r>
        <w:t xml:space="preserve">).</w:t>
      </w:r>
    </w:p>
    <w:p>
      <w:pPr>
        <w:pStyle w:val="BodyText"/>
      </w:pPr>
      <w:r>
        <w:t xml:space="preserve">This phenotypic divergence aligns with the model proposed by Patsch et al., suggesting that hyperglycemia and the accumulation of advanced glycation end-products (AGEs) preferentially target the cortical envelope. The resulting intracortical porosity creates stress risers that compromise the bone’s ability to withstand bending and torsional loads, which is particularly critical in weight-bearing sites like the distal tibia. Our findings provide a biological first-principle explanation for the well-documented clinical paradox that patients with Type 2 Diabetes mellitus (T2DM) have a higher fracture risk than non-diabetic individuals for any given</w:t>
      </w:r>
      <w:r>
        <w:t xml:space="preserve"> </w:t>
      </w:r>
      <m:oMath>
        <m:r>
          <m:t>T</m:t>
        </m:r>
      </m:oMath>
      <w:r>
        <w:t xml:space="preserve">-score. The</w:t>
      </w:r>
      <w:r>
        <w:t xml:space="preserve"> </w:t>
      </w:r>
      <w:r>
        <w:t xml:space="preserve">“normal”</w:t>
      </w:r>
      <w:r>
        <w:t xml:space="preserve"> </w:t>
      </w:r>
      <w:r>
        <w:t xml:space="preserve">or even elevated</w:t>
      </w:r>
      <w:r>
        <w:t xml:space="preserve"> </w:t>
      </w:r>
      <m:oMath>
        <m:r>
          <m:t>a</m:t>
        </m:r>
        <m:r>
          <m:t>B</m:t>
        </m:r>
        <m:r>
          <m:t>M</m:t>
        </m:r>
        <m:r>
          <m:t>D</m:t>
        </m:r>
      </m:oMath>
      <w:r>
        <w:t xml:space="preserve"> </w:t>
      </w:r>
      <w:r>
        <w:t xml:space="preserve">often seen in T2DM masks a structurally compromised cortex that is primed for failure.</w:t>
      </w:r>
    </w:p>
    <w:bookmarkEnd w:id="58"/>
    <w:bookmarkStart w:id="59" w:name="Xa8007ed9e0401661fb116cf71bdd55efc9ba32b"/>
    <w:p>
      <w:pPr>
        <w:pStyle w:val="Heading2"/>
      </w:pPr>
      <w:r>
        <w:t xml:space="preserve">8.3 Clinical Implications and Future Directions</w:t>
      </w:r>
    </w:p>
    <w:p>
      <w:pPr>
        <w:pStyle w:val="FirstParagraph"/>
      </w:pPr>
      <w:r>
        <w:t xml:space="preserve">The clinical implications of our findings are substantial. They indicate that the current strategy of screening with DXA and treating based on a</w:t>
      </w:r>
      <w:r>
        <w:t xml:space="preserve"> </w:t>
      </w:r>
      <m:oMath>
        <m:r>
          <m:t>T</m:t>
        </m:r>
      </m:oMath>
      <w:r>
        <w:t xml:space="preserve">-score threshold of -2.5 is insufficient for a large segment of the postmenopausal population. By relying on a metric that is blind to the primary drivers of fragility in osteopenia and diabetes, we are systematically failing to identify and treat those at imminent risk of fracture.</w:t>
      </w:r>
    </w:p>
    <w:p>
      <w:pPr>
        <w:pStyle w:val="BodyText"/>
      </w:pPr>
      <w:r>
        <w:t xml:space="preserve">Our study validates the potential of HR-pQCT as a critical risk-stratification tool for the</w:t>
      </w:r>
      <w:r>
        <w:t xml:space="preserve"> </w:t>
      </w:r>
      <w:r>
        <w:t xml:space="preserve">“grey zone”</w:t>
      </w:r>
      <w:r>
        <w:t xml:space="preserve"> </w:t>
      </w:r>
      <w:r>
        <w:t xml:space="preserve">patient. A hierarchical screening approach, where patients with osteopenic</w:t>
      </w:r>
      <w:r>
        <w:t xml:space="preserve"> </w:t>
      </w:r>
      <m:oMath>
        <m:r>
          <m:t>T</m:t>
        </m:r>
      </m:oMath>
      <w:r>
        <w:t xml:space="preserve">-scores are referred for HR-pQCT to assess their microarchitectural status, could significantly improve fracture prediction. The identification of</w:t>
      </w:r>
      <w:r>
        <w:t xml:space="preserve"> </w:t>
      </w:r>
      <w:r>
        <w:rPr>
          <w:b/>
          <w:bCs/>
        </w:rPr>
        <w:t xml:space="preserve">Trabecular Disconnection</w:t>
      </w:r>
      <w:r>
        <w:t xml:space="preserve"> </w:t>
      </w:r>
      <w:r>
        <w:t xml:space="preserve">in the general population or</w:t>
      </w:r>
      <w:r>
        <w:t xml:space="preserve"> </w:t>
      </w:r>
      <w:r>
        <w:rPr>
          <w:b/>
          <w:bCs/>
        </w:rPr>
        <w:t xml:space="preserve">Cortical Porosity</w:t>
      </w:r>
      <w:r>
        <w:t xml:space="preserve"> </w:t>
      </w:r>
      <w:r>
        <w:t xml:space="preserve">in diabetic patients would provide a strong rationale for initiating pharmacological therapy, potentially with agents that specifically target these structural deficits. For example, anabolic therapies that rebuild trabecular architecture may be more efficacious in the general osteopenic population, while antiresorptive agents that reduce cortical remodeling could be the treatment of choice for diabetic fragility.</w:t>
      </w:r>
    </w:p>
    <w:bookmarkEnd w:id="59"/>
    <w:bookmarkStart w:id="60" w:name="strengths-and-limitations-1"/>
    <w:p>
      <w:pPr>
        <w:pStyle w:val="Heading2"/>
      </w:pPr>
      <w:r>
        <w:t xml:space="preserve">8.4 Strengths and Limitations</w:t>
      </w:r>
    </w:p>
    <w:p>
      <w:pPr>
        <w:pStyle w:val="FirstParagraph"/>
      </w:pPr>
      <w:r>
        <w:t xml:space="preserve">The strengths of our study include the rigorous</w:t>
      </w:r>
      <w:r>
        <w:t xml:space="preserve"> </w:t>
      </w:r>
      <w:r>
        <w:t xml:space="preserve">“Entry Ticket”</w:t>
      </w:r>
      <w:r>
        <w:t xml:space="preserve"> </w:t>
      </w:r>
      <w:r>
        <w:t xml:space="preserve">inclusion strategy, ensuring high-quality imaging data for advanced biomechanical modeling. The use of a pre-specified diabetic subgroup allows for a more nuanced understanding of the different pathophysiological mechanisms underlying skeletal fragility. The calculation of adjusted ORs controlled for age, BMI, and even central</w:t>
      </w:r>
      <w:r>
        <w:t xml:space="preserve"> </w:t>
      </w:r>
      <m:oMath>
        <m:r>
          <m:t>a</m:t>
        </m:r>
        <m:r>
          <m:t>B</m:t>
        </m:r>
        <m:r>
          <m:t>M</m:t>
        </m:r>
        <m:r>
          <m:t>D</m:t>
        </m:r>
      </m:oMath>
      <w:r>
        <w:t xml:space="preserve"> </w:t>
      </w:r>
      <w:r>
        <w:t xml:space="preserve">provides the highest level of evidence for the independent value of HR-pQCT.</w:t>
      </w:r>
    </w:p>
    <w:p>
      <w:pPr>
        <w:pStyle w:val="BodyText"/>
      </w:pPr>
      <w:r>
        <w:t xml:space="preserve">Limitations include the cross-sectional design, which prevents us from establishing causality or assessing the temporal rate of microarchitectural decay. Our population was recruited from a tertiary care center, which may introduce selection bias and limit generalizability to the broader community. Additionally, while we adjusted for major clinical risk factors, we did not have complete data on all potential confounders, such as specific duration or dose of glucocorticoid therapy.</w:t>
      </w:r>
    </w:p>
    <w:bookmarkEnd w:id="60"/>
    <w:bookmarkStart w:id="61" w:name="conclusion-1"/>
    <w:p>
      <w:pPr>
        <w:pStyle w:val="Heading2"/>
      </w:pPr>
      <w:r>
        <w:t xml:space="preserve">8.5 Conclusion</w:t>
      </w:r>
    </w:p>
    <w:p>
      <w:pPr>
        <w:pStyle w:val="FirstParagraph"/>
      </w:pPr>
      <w:r>
        <w:t xml:space="preserve">In conclusion, our study demonstrates that skeletal fragility in osteopenic postmenopausal women is driven by distinct microarchitectural and biomechanical failures that are missed by standard densitometry. We identify</w:t>
      </w:r>
      <w:r>
        <w:t xml:space="preserve"> </w:t>
      </w:r>
      <w:r>
        <w:rPr>
          <w:b/>
          <w:bCs/>
        </w:rPr>
        <w:t xml:space="preserve">Trabecular Disconnection</w:t>
      </w:r>
      <w:r>
        <w:t xml:space="preserve"> </w:t>
      </w:r>
      <w:r>
        <w:t xml:space="preserve">as the primary culprit in the general osteopenic population and</w:t>
      </w:r>
      <w:r>
        <w:t xml:space="preserve"> </w:t>
      </w:r>
      <w:r>
        <w:rPr>
          <w:b/>
          <w:bCs/>
        </w:rPr>
        <w:t xml:space="preserve">Cortical Porosity</w:t>
      </w:r>
      <w:r>
        <w:t xml:space="preserve"> </w:t>
      </w:r>
      <w:r>
        <w:t xml:space="preserve">as a key determinant in those with Type 2 Diabetes. These findings provide a powerful biological rationale for moving beyond the</w:t>
      </w:r>
      <w:r>
        <w:t xml:space="preserve"> </w:t>
      </w:r>
      <m:oMath>
        <m:r>
          <m:t>T</m:t>
        </m:r>
      </m:oMath>
      <w:r>
        <w:t xml:space="preserve">-score and adopting a more structural and functional approach to fracture risk assessment. Integrating HR-pQCT into the clinical workflow for patients in the diagnostic</w:t>
      </w:r>
      <w:r>
        <w:t xml:space="preserve"> </w:t>
      </w:r>
      <w:r>
        <w:t xml:space="preserve">“grey zone”</w:t>
      </w:r>
      <w:r>
        <w:t xml:space="preserve"> </w:t>
      </w:r>
      <w:r>
        <w:t xml:space="preserve">is not just a technological upgrade, but a fundamental step towards addressing the Prevention Paradox and reducing the burden of osteoporotic fractures.</w:t>
      </w:r>
    </w:p>
    <w:p>
      <w:pPr>
        <w:pStyle w:val="BodyText"/>
      </w:pPr>
      <w:r>
        <w:t xml:space="preserve">References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Trabecular Disconnection and Biomechanical Weakness Drive Fragility in Osteopenic Postmenopausal Women: An HR-pQCT and \muFEA Study</dc:title>
  <dc:creator>Ajay Shukla</dc:creator>
  <cp:keywords>HR-pQCT, Osteopenia, Type 2 Diabetes, Microarchitecture, Finite Element Analysis</cp:keywords>
  <dcterms:created xsi:type="dcterms:W3CDTF">2026-02-15T17:51:26Z</dcterms:created>
  <dcterms:modified xsi:type="dcterms:W3CDTF">2026-02-15T17:51:26Z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