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6A5C6" w14:textId="77777777" w:rsidR="000E6443" w:rsidRDefault="000E6443"/>
    <w:p w14:paraId="1F626C95" w14:textId="77777777" w:rsidR="000E6443" w:rsidRDefault="001561E6">
      <w:r>
        <w:rPr>
          <w:b/>
          <w:sz w:val="28"/>
        </w:rPr>
        <w:t>Splenectomy</w:t>
      </w:r>
    </w:p>
    <w:p w14:paraId="1DEC46D4" w14:textId="77777777" w:rsidR="000E6443" w:rsidRDefault="000E6443"/>
    <w:p w14:paraId="0C65FD6C" w14:textId="77777777" w:rsidR="000E6443" w:rsidRPr="001561E6" w:rsidRDefault="001561E6">
      <w:pPr>
        <w:rPr>
          <w:highlight w:val="yellow"/>
        </w:rPr>
      </w:pPr>
      <w:r w:rsidRPr="001561E6">
        <w:rPr>
          <w:highlight w:val="yellow"/>
        </w:rPr>
        <w:t>Stem: A 44-year-old female presented to her primary care doctor several months ago complaining of a recent onset of easy bruising and gum bleeding. Workup demonstrated a platelet count &lt;10 × 109/L. She was diagnosed with immune thrombocytopenic purpura (ITP) and admitted to the hospital for treatment.</w:t>
      </w:r>
    </w:p>
    <w:p w14:paraId="3FB7D9DF" w14:textId="77777777" w:rsidR="000E6443" w:rsidRPr="001561E6" w:rsidRDefault="001561E6">
      <w:pPr>
        <w:rPr>
          <w:highlight w:val="yellow"/>
        </w:rPr>
      </w:pPr>
      <w:r w:rsidRPr="001561E6">
        <w:rPr>
          <w:highlight w:val="yellow"/>
        </w:rPr>
        <w:t>She was started on high-dose intravenous immunoglobulin and high-dose corticosteroids with an excellent response in her platelet count. She was discharged home on a gradual prednisone taper.</w:t>
      </w:r>
    </w:p>
    <w:p w14:paraId="0B2E1E5A" w14:textId="77777777" w:rsidR="000E6443" w:rsidRDefault="001561E6">
      <w:r w:rsidRPr="001561E6">
        <w:rPr>
          <w:highlight w:val="yellow"/>
        </w:rPr>
        <w:t>As her prednisone doses were weaned below 20 mg per day, the patient experienced a recurrence in her thrombocytopenia with associated recurrence of easy bruising.</w:t>
      </w:r>
    </w:p>
    <w:p w14:paraId="034F0A1D" w14:textId="77777777" w:rsidR="000E6443" w:rsidRDefault="000E6443"/>
    <w:p w14:paraId="7350B0CE" w14:textId="77777777" w:rsidR="000E6443" w:rsidRDefault="001561E6">
      <w:r>
        <w:rPr>
          <w:b/>
        </w:rPr>
        <w:t>What is your diagnosis and management plan?</w:t>
      </w:r>
    </w:p>
    <w:p w14:paraId="799BC67E" w14:textId="77777777" w:rsidR="000E6443" w:rsidRDefault="001561E6">
      <w:r>
        <w:t>Refractory ITP.</w:t>
      </w:r>
    </w:p>
    <w:p w14:paraId="681AD31F" w14:textId="77777777" w:rsidR="000E6443" w:rsidRDefault="001561E6">
      <w:r>
        <w:t>Bone marrow aspiration: normal marrow cellularity, adequate megakaryocytes. Review of the peripheral blood smear does not demonstrate platelet clumping.</w:t>
      </w:r>
    </w:p>
    <w:p w14:paraId="68223622" w14:textId="77777777" w:rsidR="000E6443" w:rsidRDefault="001561E6">
      <w:r>
        <w:t>Splenectomy: After administration of splenectomy vaccines preop.</w:t>
      </w:r>
    </w:p>
    <w:p w14:paraId="0383A972" w14:textId="77777777" w:rsidR="000E6443" w:rsidRDefault="001561E6">
      <w:r>
        <w:t>pneumococcal vaccine (PCV13), Haemophilus influenzae type b vaccination (Hib), and meningococca</w:t>
      </w:r>
    </w:p>
    <w:p w14:paraId="6D082DE3" w14:textId="77777777" w:rsidR="000E6443" w:rsidRDefault="001561E6">
      <w:r>
        <w:t>Patient came to you because you perform minimal invasive procedures, How would you perform her surgery?(Resident to describe one minimal invasive approach, Patients with ITP are ideal candidates for a minimally invasive approach because they are frequently young, otherwise healthy patients with normal-sized spleens.)</w:t>
      </w:r>
    </w:p>
    <w:p w14:paraId="6DD5557F" w14:textId="77777777" w:rsidR="000E6443" w:rsidRDefault="001561E6">
      <w:r>
        <w:rPr>
          <w:b/>
        </w:rPr>
        <w:t>Laparoscopic: Describe?</w:t>
      </w:r>
    </w:p>
    <w:p w14:paraId="2C3DE90A" w14:textId="77777777" w:rsidR="000E6443" w:rsidRDefault="001561E6">
      <w:r>
        <w:t>Patient positioned in modified right lateral decubitus position.</w:t>
      </w:r>
    </w:p>
    <w:p w14:paraId="5E2200DE" w14:textId="77777777" w:rsidR="000E6443" w:rsidRDefault="001561E6">
      <w:r>
        <w:t>Abdominal access</w:t>
      </w:r>
    </w:p>
    <w:p w14:paraId="5988357D" w14:textId="77777777" w:rsidR="000E6443" w:rsidRDefault="001561E6">
      <w:r>
        <w:t>Ports are placed as:</w:t>
      </w:r>
    </w:p>
    <w:p w14:paraId="5978EB61" w14:textId="77777777" w:rsidR="000E6443" w:rsidRDefault="001561E6">
      <w:r>
        <w:t>12-mm trocar ~3–4 cm below the left costal margin in the midclavicular line.</w:t>
      </w:r>
    </w:p>
    <w:p w14:paraId="0EEAC275" w14:textId="77777777" w:rsidR="000E6443" w:rsidRDefault="001561E6">
      <w:r>
        <w:t>Two 5-mm trocars are placed along the costal margin between xiphoid process and 12 mm trocar.</w:t>
      </w:r>
    </w:p>
    <w:p w14:paraId="5F32AA4A" w14:textId="77777777" w:rsidR="000E6443" w:rsidRDefault="001561E6">
      <w:r>
        <w:t>Divide the splenocolic ligament and mobilize the splenic flexure caudad.</w:t>
      </w:r>
    </w:p>
    <w:p w14:paraId="35BBC408" w14:textId="77777777" w:rsidR="000E6443" w:rsidRDefault="001561E6">
      <w:r>
        <w:t>Additional 12-mm trocar is placed in the left anterior axillary line below the costal margin.</w:t>
      </w:r>
    </w:p>
    <w:p w14:paraId="7F5C3700" w14:textId="77777777" w:rsidR="000E6443" w:rsidRDefault="001561E6">
      <w:r>
        <w:t>The short gastric vessels are divided in their entirety up to the level of the superior pole of the spleen.</w:t>
      </w:r>
    </w:p>
    <w:p w14:paraId="0FB701E0" w14:textId="77777777" w:rsidR="000E6443" w:rsidRDefault="001561E6">
      <w:r>
        <w:t>Mobilize inferior pole of the spleen by dividing splenorenal ligament.</w:t>
      </w:r>
    </w:p>
    <w:p w14:paraId="7ACFA00D" w14:textId="77777777" w:rsidR="000E6443" w:rsidRDefault="001561E6">
      <w:r>
        <w:t>Mobilize the superior pole of the spleen to isolate the splenic hilum.</w:t>
      </w:r>
    </w:p>
    <w:p w14:paraId="0A3BFCF9" w14:textId="77777777" w:rsidR="000E6443" w:rsidRDefault="001561E6">
      <w:r>
        <w:t>The splenic hilar vessels are divided with an endoscopic stapler.</w:t>
      </w:r>
    </w:p>
    <w:p w14:paraId="3A64A5D0" w14:textId="77777777" w:rsidR="000E6443" w:rsidRDefault="001561E6">
      <w:r>
        <w:lastRenderedPageBreak/>
        <w:t>Spleen is placed in endobag, which is exteriorized through the Hasson trocar site so the spleen can be morcellated.</w:t>
      </w:r>
    </w:p>
    <w:p w14:paraId="4239EFBC" w14:textId="77777777" w:rsidR="000E6443" w:rsidRDefault="001561E6">
      <w:r>
        <w:t>Upon completion, the abdomen is then reinspected laparoscopically to ensure hemostasis.</w:t>
      </w:r>
    </w:p>
    <w:p w14:paraId="43AECA9A" w14:textId="77777777" w:rsidR="000E6443" w:rsidRDefault="000E6443"/>
    <w:p w14:paraId="239F3E7A" w14:textId="77777777" w:rsidR="000E6443" w:rsidRDefault="001561E6">
      <w:r>
        <w:t>Hand Assisted laparoscopic Splenectomy.</w:t>
      </w:r>
    </w:p>
    <w:p w14:paraId="2F2CA191" w14:textId="77777777" w:rsidR="000E6443" w:rsidRDefault="001561E6">
      <w:r>
        <w:t>Patient is positioned in modified right lateral decubitus position.</w:t>
      </w:r>
    </w:p>
    <w:p w14:paraId="5E3F09F2" w14:textId="77777777" w:rsidR="000E6443" w:rsidRDefault="001561E6">
      <w:r>
        <w:t>Abdominal access</w:t>
      </w:r>
    </w:p>
    <w:p w14:paraId="336D73B0" w14:textId="77777777" w:rsidR="000E6443" w:rsidRDefault="001561E6">
      <w:r>
        <w:t>Ports are placed as:</w:t>
      </w:r>
    </w:p>
    <w:p w14:paraId="08FBFA90" w14:textId="77777777" w:rsidR="000E6443" w:rsidRDefault="001561E6">
      <w:r>
        <w:t>12-mm trocar ~3–4 cm below the left costal margin in the midclavicular line.</w:t>
      </w:r>
    </w:p>
    <w:p w14:paraId="45C80EB3" w14:textId="77777777" w:rsidR="000E6443" w:rsidRDefault="001561E6">
      <w:r>
        <w:t>Two 5-mm trocars are placed along the costal margin between xiphoid process and 12 mm trocar.</w:t>
      </w:r>
    </w:p>
    <w:p w14:paraId="26E8BF32" w14:textId="77777777" w:rsidR="000E6443" w:rsidRDefault="001561E6">
      <w:r>
        <w:t>Divide the splenocolic ligament and mobilize the splenic flexure caudad.</w:t>
      </w:r>
    </w:p>
    <w:p w14:paraId="49FBB6A8" w14:textId="77777777" w:rsidR="000E6443" w:rsidRDefault="001561E6">
      <w:r>
        <w:t>Additional 12-mm trocar is placed in the left anterior axillary line below the costal margin.</w:t>
      </w:r>
    </w:p>
    <w:p w14:paraId="589B2E89" w14:textId="77777777" w:rsidR="000E6443" w:rsidRDefault="001561E6">
      <w:r>
        <w:t>The short gastric vessels are divided in their entirety up to the level of the superior pole of the spleen.</w:t>
      </w:r>
    </w:p>
    <w:p w14:paraId="54552000" w14:textId="77777777" w:rsidR="000E6443" w:rsidRDefault="001561E6">
      <w:r>
        <w:t>Connect the 5-mm skin incisions and open the subcutaneous tissue and fascia.</w:t>
      </w:r>
    </w:p>
    <w:p w14:paraId="60B97EDC" w14:textId="77777777" w:rsidR="000E6443" w:rsidRDefault="001561E6">
      <w:r>
        <w:t>Place hand port. Utilize left hand to protect and retract the spleen and the right hand to use dissecting instruments.</w:t>
      </w:r>
    </w:p>
    <w:p w14:paraId="4744961D" w14:textId="77777777" w:rsidR="000E6443" w:rsidRDefault="001561E6">
      <w:r>
        <w:t>Mobilize inferior pole of the spleen by dividing splenorenal ligament.</w:t>
      </w:r>
    </w:p>
    <w:p w14:paraId="2D3FA85C" w14:textId="77777777" w:rsidR="000E6443" w:rsidRDefault="001561E6">
      <w:r>
        <w:t>Mobilize the superior pole of the spleen to isolate the splenic hilum.</w:t>
      </w:r>
    </w:p>
    <w:p w14:paraId="7E2A9262" w14:textId="77777777" w:rsidR="000E6443" w:rsidRDefault="001561E6">
      <w:r>
        <w:t>The splenic hilar vessels are divided with an endoscopic stapler.</w:t>
      </w:r>
    </w:p>
    <w:p w14:paraId="423EA5F3" w14:textId="77777777" w:rsidR="000E6443" w:rsidRDefault="001561E6">
      <w:r>
        <w:t>Spleen placed in large endobag or sterile x-ray cassette cover and exteriorized through the hand-port site, so the spleen can be morcellated or removed in its entirety.</w:t>
      </w:r>
    </w:p>
    <w:p w14:paraId="787127ED" w14:textId="77777777" w:rsidR="000E6443" w:rsidRDefault="000E6443"/>
    <w:sectPr w:rsidR="000E64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116076">
    <w:abstractNumId w:val="8"/>
  </w:num>
  <w:num w:numId="2" w16cid:durableId="801195072">
    <w:abstractNumId w:val="6"/>
  </w:num>
  <w:num w:numId="3" w16cid:durableId="420568553">
    <w:abstractNumId w:val="5"/>
  </w:num>
  <w:num w:numId="4" w16cid:durableId="871575233">
    <w:abstractNumId w:val="4"/>
  </w:num>
  <w:num w:numId="5" w16cid:durableId="1453088904">
    <w:abstractNumId w:val="7"/>
  </w:num>
  <w:num w:numId="6" w16cid:durableId="255098006">
    <w:abstractNumId w:val="3"/>
  </w:num>
  <w:num w:numId="7" w16cid:durableId="1509521128">
    <w:abstractNumId w:val="2"/>
  </w:num>
  <w:num w:numId="8" w16cid:durableId="1054081473">
    <w:abstractNumId w:val="1"/>
  </w:num>
  <w:num w:numId="9" w16cid:durableId="403184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443"/>
    <w:rsid w:val="0015074B"/>
    <w:rsid w:val="001561E6"/>
    <w:rsid w:val="0029639D"/>
    <w:rsid w:val="00326F90"/>
    <w:rsid w:val="00463D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9B7946-5D19-4E27-8985-F1D1C150E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558</Words>
  <Characters>2959</Characters>
  <Application>Microsoft Office Word</Application>
  <DocSecurity>0</DocSecurity>
  <Lines>65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Drake, Justin</cp:lastModifiedBy>
  <cp:revision>2</cp:revision>
  <dcterms:created xsi:type="dcterms:W3CDTF">2013-12-23T23:15:00Z</dcterms:created>
  <dcterms:modified xsi:type="dcterms:W3CDTF">2026-03-20T05:20:00Z</dcterms:modified>
  <cp:category/>
</cp:coreProperties>
</file>