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Volvulus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6"/>
                <w:szCs w:val="16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6"/>
                <w:szCs w:val="16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3–5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6"/>
                <w:szCs w:val="16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Colorectal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04040"/>
                <w:sz w:val="22"/>
                <w:szCs w:val="22"/>
              </w:rPr>
              <w:t xml:space="preserve">An 83-year-old male with known dementia, residing in a nursing facility, is brought to the emergency department after 48 hours of worsening abdominal pain and multiple episodes of emesis. History is limited given cognitive status. Vitals: HR 105, BP 118/72, afebrile. Abdomen is distended with tenderness to palpation in the LLQ, no guarding, no rigidity. WBC 12k, lactate 2.0. KUB obtained and read as: 'Grossly dilated colon. No evidence of pneumoperitoneum.'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If candidate does not specify CT, prompt: 'The KUB was non-diagnostic — what next?' Do not mention sigmoid volvulus until candidate identifies it. If candidate immediately proceeds to OR without attempting endoscopic decompression, this is a critical error.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differential diagnosis?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Sigmoid volvulus (most likely)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Cecal volvulus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Large bowel obstruction from malignancy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Ogilvie syndrome (colonic pseudo-obstruction)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IBD with toxic dilation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Candidate should recognize the KUB finding of markedly dilated colon in an elderly, debilitated patient as concerning for volvulus. Ogilvie's is reasonable in this setting.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initial workup and management?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Resuscitation: IV access, fluids, NPO, Foley, electrolyte correction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 abdomen/pelvis with IV contrast → confirms sigmoid volvulus (coffee bean or omega sign), rules out ischemia or perforation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Broad-spectrum antibiotics if concerned for ischemia or perforation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NGT if significant distention/emesis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CT confirms sigmoid volvulus without ischemia or perforation. How do you manage?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Flexible sigmoidoscopy for endoscopic decompression — surgeon should perform this, not gastroenterology consult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 scope to identify torsion, gently advance past obstruction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Place rectal tube to maintain decompression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Expect passage of large amounts of gas and liquid stool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Success rate of endoscopic decompression 75–90%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After decompression: admit, bowel prep, ostomy marking, and plan elective sigmoid colectomy given high recurrence rate (50–90% if untreated)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If candidate says 'consult GI for colonoscopy' — redirect: as the general surgeon, describe how you would perform this yourself.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Patient decompresses successfully. You plan surgery before discharge. What operation do you offer, and how do you perform it?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Sigmoid colectomy with end colostomy (Hartmann procedure) is most appropriate in elderly/debilitated patient with unprepared bowel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Alternative: primary anastomosis acceptable in a well-prepped, low-risk patient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Open, laparoscopic, or robotic approaches all acceptable — describe 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Open: midline laparotomy → mobilize sigmoid from lateral attachments (white line of Toldt) → identify and ligate inferior mesenteric artery/vein → transect bowel → end colostomy matured in LLQ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Peritonitis on presentation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Same patient arrives with fever to 38.9°C, WBC 17k, diffuse abdominal tenderness with guarding and rigidity. How does your management change?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Urgent resuscitation — aggressive IVF, broad-spectrum antibiotics, NPO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role for endoscopic decompression in the setting of peritonitis or suspected ischemia/perforation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Emergent operative intervention: sigmoid colectomy and end colostomy (Hartmann)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Intraoperative: assess bowel viability, resect all non-viable colon, thorough washout if contamination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Candidate should NOT attempt endoscopic decompression when peritonitis is present. This is a critical error.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POD 3 ostomy concern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Three days after Hartmann procedure, the wound-ostomy nurse calls you — the ostomy appears dusky with patchy black areas. How do you evaluate and manage?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Assess ostomy viability: insert transparent test tube or flexible scope under direct light to assess level of ischemia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necrosis is LIMITED and extends only to the fascial level — observe, continue monitoring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necrosis extends BELOW the fascial level — take to OR for ostomy revision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Resect devitalized bowel back to healthy, well-vascularized tissue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Re-mature ostomy at same or alternative site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3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Cecal volvulus variant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Different patient: 58-year-old female, 5 vaginal deliveries, acute abdominal pain. KUB shows massively dilated air-filled cecum in the central abdomen ('coffee bean' in the mid-abdomen). How does management differ?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Cecal volvulus: no reliable role for endoscopic decompression — operative management is standard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Right hemicolectomy with ileocolic anastomosis if bowel viable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bowel nonviable or patient unstable: ileostomy with mucous fistula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Cecopexy alone has unacceptably high recurrence (&gt;30%) — do not recommend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Key distinction: sigmoid volvulus → endoscopic decompression first; cecal volvulus → direct OR.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Attempting endoscopic decompression in the setting of peritonitis, perforation, or suspected ischemia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Failing to offer elective sigmoid colectomy after successful endoscopic decompression (discussing discharge without definitive surgery plan)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Recommending cecopexy alone for cecal volvulus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Taking the decompressed patient to OR the same night emergently without bowel prep when stable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Sigmoid volvulus: endoscopic decompression is first-line when no peritonitis — recurrence rate without resection is 50–90%, so interval elective sigmoid colectomy is standard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Cecal volvulus: no proven role for endoscopic decompression; right hemicolectomy is definitive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Ostomy ischemia: the key distinction is whether necrosis extends below the fascial level — superficial ischemia can be observed; subfascial necrosis requires revision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Elderly demented nursing home patients have high operative mortality — decision on timing (acute vs interval) should weigh physiologic status carefully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ASCRS Clinical Practice Guidelines: Management of Sigmoid Volvulus — Dis Colon Rectum 2023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Halabi WJ et al. Colonic volvulus in the United States — Dis Colon Rectum 2014;57:1022-1028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Mulas C et al. Volvulus of the colon: a 10-year review — Colorectal Dis 2010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Volvulus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Colorectal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2026-03-21T20:39:12.126Z</dcterms:created>
  <dcterms:modified xsi:type="dcterms:W3CDTF">2026-03-21T20:39:12.128Z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