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Pancreatic Pseudocyst</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6"/>
                <w:szCs w:val="16"/>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6"/>
                <w:szCs w:val="16"/>
              </w:rPr>
              <w:t xml:space="preserve">LEVEL</w:t>
            </w:r>
          </w:p>
          <w:p>
            <w:pPr>
              <w:jc w:val="center"/>
            </w:pPr>
            <w:r>
              <w:rPr>
                <w:rFonts w:ascii="Arial" w:cs="Arial" w:eastAsia="Arial" w:hAnsi="Arial"/>
                <w:b/>
                <w:bCs/>
                <w:color w:val="FFFFFF"/>
                <w:sz w:val="18"/>
                <w:szCs w:val="18"/>
              </w:rPr>
              <w:t xml:space="preserve">PGY 3–5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6"/>
                <w:szCs w:val="16"/>
              </w:rPr>
              <w:t xml:space="preserve">DOMAIN</w:t>
            </w:r>
          </w:p>
          <w:p>
            <w:pPr>
              <w:jc w:val="center"/>
            </w:pPr>
            <w:r>
              <w:rPr>
                <w:rFonts w:ascii="Arial" w:cs="Arial" w:eastAsia="Arial" w:hAnsi="Arial"/>
                <w:b/>
                <w:bCs/>
                <w:color w:val="FFFFFF"/>
                <w:sz w:val="16"/>
                <w:szCs w:val="16"/>
              </w:rPr>
              <w:t xml:space="preserve">Hepatobiliary/Pancreas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i w:val="false"/>
                <w:iCs w:val="false"/>
                <w:color w:val="404040"/>
                <w:sz w:val="22"/>
                <w:szCs w:val="22"/>
              </w:rPr>
              <w:t xml:space="preserve">A 43-year-old male presents to your office 2 weeks after hospitalization for acute pancreatitis. He has ongoing mild abdominal discomfort. Social history notable for alcohol abuse; he has abstained since admission. Vitals: T 98°F, BP 140/60, HR 88. Abdomen: mild LUQ tenderness without guarding. RUQ ultrasound shows a fluid collection in the left upper quadrant. CT abdomen/pelvis demonstrates peripancreatic inflammatory changes and a 5 cm fluid collection along the body/tail of the pancreas.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Let the candidate establish what the collection is and why watchful waiting is appropriate at 5 cm. Probe their understanding of the maturation timeline before raising the 15 cm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your differential diagnosis for this pancreatic fluid collection?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Pancreatic pseudocyst (most likely given recent pancreatitis, 5 cm, round/well-defined)</w:t>
            </w:r>
          </w:p>
          <w:p>
            <w:pPr>
              <w:pStyle w:val="ListParagraph"/>
              <w:numPr>
                <w:ilvl w:val="0"/>
                <w:numId w:val="2"/>
              </w:numPr>
              <w:spacing w:before="20" w:after="20"/>
            </w:pPr>
            <w:r>
              <w:rPr>
                <w:rFonts w:ascii="Arial" w:cs="Arial" w:eastAsia="Arial" w:hAnsi="Arial"/>
                <w:color w:val="404040"/>
                <w:sz w:val="20"/>
                <w:szCs w:val="20"/>
              </w:rPr>
              <w:t xml:space="preserve">Walled-off pancreatic necrosis (WOPN) — must distinguish from pseudocyst, especially if recent acute pancreatitis was severe</w:t>
            </w:r>
          </w:p>
          <w:p>
            <w:pPr>
              <w:pStyle w:val="ListParagraph"/>
              <w:numPr>
                <w:ilvl w:val="0"/>
                <w:numId w:val="2"/>
              </w:numPr>
              <w:spacing w:before="20" w:after="20"/>
            </w:pPr>
            <w:r>
              <w:rPr>
                <w:rFonts w:ascii="Arial" w:cs="Arial" w:eastAsia="Arial" w:hAnsi="Arial"/>
                <w:color w:val="404040"/>
                <w:sz w:val="20"/>
                <w:szCs w:val="20"/>
              </w:rPr>
              <w:t xml:space="preserve">Serous cystadenoma</w:t>
            </w:r>
          </w:p>
          <w:p>
            <w:pPr>
              <w:pStyle w:val="ListParagraph"/>
              <w:numPr>
                <w:ilvl w:val="0"/>
                <w:numId w:val="2"/>
              </w:numPr>
              <w:spacing w:before="20" w:after="20"/>
            </w:pPr>
            <w:r>
              <w:rPr>
                <w:rFonts w:ascii="Arial" w:cs="Arial" w:eastAsia="Arial" w:hAnsi="Arial"/>
                <w:color w:val="404040"/>
                <w:sz w:val="20"/>
                <w:szCs w:val="20"/>
              </w:rPr>
              <w:t xml:space="preserve">Mucinous cystadenoma (IPMN vs mucinous)</w:t>
            </w:r>
          </w:p>
          <w:p>
            <w:pPr>
              <w:pStyle w:val="ListParagraph"/>
              <w:numPr>
                <w:ilvl w:val="0"/>
                <w:numId w:val="2"/>
              </w:numPr>
              <w:spacing w:before="20" w:after="20"/>
            </w:pPr>
            <w:r>
              <w:rPr>
                <w:rFonts w:ascii="Arial" w:cs="Arial" w:eastAsia="Arial" w:hAnsi="Arial"/>
                <w:color w:val="404040"/>
                <w:sz w:val="20"/>
                <w:szCs w:val="20"/>
              </w:rPr>
              <w:t xml:space="preserve">Rare: solid-pseudopapillary neoplasm, pancreatic ductal adenocarcinoma with cystic degeneration</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The distinction between pseudocyst (fluid only) and WOPN (solid debris within) has major management implications. MRCP or MRI is the best test to distinguish.</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your management of this 5 cm pseudocyst 2 weeks after pancreatitis?</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Watchful waiting — up to 10% of patients develop pseudocysts after acute pancreatitis, majority resolve spontaneously</w:t>
            </w:r>
          </w:p>
          <w:p>
            <w:pPr>
              <w:pStyle w:val="ListParagraph"/>
              <w:numPr>
                <w:ilvl w:val="0"/>
                <w:numId w:val="2"/>
              </w:numPr>
              <w:spacing w:before="20" w:after="20"/>
            </w:pPr>
            <w:r>
              <w:rPr>
                <w:rFonts w:ascii="Arial" w:cs="Arial" w:eastAsia="Arial" w:hAnsi="Arial"/>
                <w:color w:val="404040"/>
                <w:sz w:val="20"/>
                <w:szCs w:val="20"/>
              </w:rPr>
              <w:t xml:space="preserve">Majority of pseudocysts &lt;6 cm will resolve within 6 weeks without intervention</w:t>
            </w:r>
          </w:p>
          <w:p>
            <w:pPr>
              <w:pStyle w:val="ListParagraph"/>
              <w:numPr>
                <w:ilvl w:val="0"/>
                <w:numId w:val="2"/>
              </w:numPr>
              <w:spacing w:before="20" w:after="20"/>
            </w:pPr>
            <w:r>
              <w:rPr>
                <w:rFonts w:ascii="Arial" w:cs="Arial" w:eastAsia="Arial" w:hAnsi="Arial"/>
                <w:color w:val="404040"/>
                <w:sz w:val="20"/>
                <w:szCs w:val="20"/>
              </w:rPr>
              <w:t xml:space="preserve">No indication for drainage at this point — collection is not symptomatic enough, and 5 cm is not concerning for compression</w:t>
            </w:r>
          </w:p>
          <w:p>
            <w:pPr>
              <w:pStyle w:val="ListParagraph"/>
              <w:numPr>
                <w:ilvl w:val="0"/>
                <w:numId w:val="2"/>
              </w:numPr>
              <w:spacing w:before="20" w:after="20"/>
            </w:pPr>
            <w:r>
              <w:rPr>
                <w:rFonts w:ascii="Arial" w:cs="Arial" w:eastAsia="Arial" w:hAnsi="Arial"/>
                <w:color w:val="404040"/>
                <w:sz w:val="20"/>
                <w:szCs w:val="20"/>
              </w:rPr>
              <w:t xml:space="preserve">Follow with repeat imaging in 4–6 weeks</w:t>
            </w:r>
          </w:p>
          <w:p>
            <w:pPr>
              <w:pStyle w:val="ListParagraph"/>
              <w:numPr>
                <w:ilvl w:val="0"/>
                <w:numId w:val="2"/>
              </w:numPr>
              <w:spacing w:before="20" w:after="20"/>
            </w:pPr>
            <w:r>
              <w:rPr>
                <w:rFonts w:ascii="Arial" w:cs="Arial" w:eastAsia="Arial" w:hAnsi="Arial"/>
                <w:color w:val="404040"/>
                <w:sz w:val="20"/>
                <w:szCs w:val="20"/>
              </w:rPr>
              <w:t xml:space="preserve">Continue alcohol abstinence counseling</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are the indications to intervene on a pancreatic pseudocyst?</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Symptomatic (persistent pain, early satiety, nausea/vomiting, obstruction)</w:t>
            </w:r>
          </w:p>
          <w:p>
            <w:pPr>
              <w:pStyle w:val="ListParagraph"/>
              <w:numPr>
                <w:ilvl w:val="0"/>
                <w:numId w:val="2"/>
              </w:numPr>
              <w:spacing w:before="20" w:after="20"/>
            </w:pPr>
            <w:r>
              <w:rPr>
                <w:rFonts w:ascii="Arial" w:cs="Arial" w:eastAsia="Arial" w:hAnsi="Arial"/>
                <w:color w:val="404040"/>
                <w:sz w:val="20"/>
                <w:szCs w:val="20"/>
              </w:rPr>
              <w:t xml:space="preserve">Size &gt;6 cm that fails to resolve after 6 weeks</w:t>
            </w:r>
          </w:p>
          <w:p>
            <w:pPr>
              <w:pStyle w:val="ListParagraph"/>
              <w:numPr>
                <w:ilvl w:val="0"/>
                <w:numId w:val="2"/>
              </w:numPr>
              <w:spacing w:before="20" w:after="20"/>
            </w:pPr>
            <w:r>
              <w:rPr>
                <w:rFonts w:ascii="Arial" w:cs="Arial" w:eastAsia="Arial" w:hAnsi="Arial"/>
                <w:color w:val="404040"/>
                <w:sz w:val="20"/>
                <w:szCs w:val="20"/>
              </w:rPr>
              <w:t xml:space="preserve">Infected pseudocyst (fever, leukocytosis, air in collection)</w:t>
            </w:r>
          </w:p>
          <w:p>
            <w:pPr>
              <w:pStyle w:val="ListParagraph"/>
              <w:numPr>
                <w:ilvl w:val="0"/>
                <w:numId w:val="2"/>
              </w:numPr>
              <w:spacing w:before="20" w:after="20"/>
            </w:pPr>
            <w:r>
              <w:rPr>
                <w:rFonts w:ascii="Arial" w:cs="Arial" w:eastAsia="Arial" w:hAnsi="Arial"/>
                <w:color w:val="404040"/>
                <w:sz w:val="20"/>
                <w:szCs w:val="20"/>
              </w:rPr>
              <w:t xml:space="preserve">Hemorrhagic pseudocyst (rare, urgent)</w:t>
            </w:r>
          </w:p>
          <w:p>
            <w:pPr>
              <w:pStyle w:val="ListParagraph"/>
              <w:numPr>
                <w:ilvl w:val="0"/>
                <w:numId w:val="2"/>
              </w:numPr>
              <w:spacing w:before="20" w:after="20"/>
            </w:pPr>
            <w:r>
              <w:rPr>
                <w:rFonts w:ascii="Arial" w:cs="Arial" w:eastAsia="Arial" w:hAnsi="Arial"/>
                <w:color w:val="404040"/>
                <w:sz w:val="20"/>
                <w:szCs w:val="20"/>
              </w:rPr>
              <w:t xml:space="preserve">Rupture with ascites or pleural effusion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Pseudocyst grows to 15 cm with symptoms</w:t>
            </w:r>
          </w:p>
          <w:p>
            <w:pPr>
              <w:spacing w:before="40"/>
            </w:pPr>
            <w:r>
              <w:rPr>
                <w:rFonts w:ascii="Arial" w:cs="Arial" w:eastAsia="Arial" w:hAnsi="Arial"/>
                <w:i/>
                <w:iCs/>
                <w:color w:val="404040"/>
                <w:sz w:val="20"/>
                <w:szCs w:val="20"/>
              </w:rPr>
              <w:t xml:space="preserve">Patient returns 2 months later with worsening early satiety, nausea, and intermittent vomiting. Repeat CT shows a 15 cm pseudocyst along the pancreatic body/tail with thickened walls compressing the stomach. How do you proceed?</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MRCP (or MRI pancreas) to assess pancreatic duct anatomy — critical before intervention to determine if duct communication exists and whether stricture is present</w:t>
            </w:r>
          </w:p>
          <w:p>
            <w:pPr>
              <w:pStyle w:val="ListParagraph"/>
              <w:numPr>
                <w:ilvl w:val="0"/>
                <w:numId w:val="2"/>
              </w:numPr>
              <w:spacing w:before="20" w:after="20"/>
            </w:pPr>
            <w:r>
              <w:rPr>
                <w:rFonts w:ascii="Arial" w:cs="Arial" w:eastAsia="Arial" w:hAnsi="Arial"/>
                <w:color w:val="404040"/>
                <w:sz w:val="20"/>
                <w:szCs w:val="20"/>
              </w:rPr>
              <w:t xml:space="preserve">If disconnected pancreatic duct syndrome is present, consider total external drainage vs resection vs endoscopic transpapillary drainage</w:t>
            </w:r>
          </w:p>
          <w:p>
            <w:pPr>
              <w:pStyle w:val="ListParagraph"/>
              <w:numPr>
                <w:ilvl w:val="0"/>
                <w:numId w:val="2"/>
              </w:numPr>
              <w:spacing w:before="20" w:after="20"/>
            </w:pPr>
            <w:r>
              <w:rPr>
                <w:rFonts w:ascii="Arial" w:cs="Arial" w:eastAsia="Arial" w:hAnsi="Arial"/>
                <w:color w:val="404040"/>
                <w:sz w:val="20"/>
                <w:szCs w:val="20"/>
              </w:rPr>
              <w:t xml:space="preserve">Drainage options for symptomatic mature pseudocyst (≥4 weeks wall maturity):</w:t>
            </w:r>
          </w:p>
          <w:p>
            <w:pPr>
              <w:pStyle w:val="ListParagraph"/>
              <w:numPr>
                <w:ilvl w:val="0"/>
                <w:numId w:val="2"/>
              </w:numPr>
              <w:spacing w:before="20" w:after="20"/>
            </w:pPr>
            <w:r>
              <w:rPr>
                <w:rFonts w:ascii="Arial" w:cs="Arial" w:eastAsia="Arial" w:hAnsi="Arial"/>
                <w:color w:val="404040"/>
                <w:sz w:val="20"/>
                <w:szCs w:val="20"/>
              </w:rPr>
              <w:t xml:space="preserve">  1. Endoscopic transmural drainage — cystgastrostomy or cystoduodenostomy (preferred first-line if endoscopic access possible, no intervening vessels)</w:t>
            </w:r>
          </w:p>
          <w:p>
            <w:pPr>
              <w:pStyle w:val="ListParagraph"/>
              <w:numPr>
                <w:ilvl w:val="0"/>
                <w:numId w:val="2"/>
              </w:numPr>
              <w:spacing w:before="20" w:after="20"/>
            </w:pPr>
            <w:r>
              <w:rPr>
                <w:rFonts w:ascii="Arial" w:cs="Arial" w:eastAsia="Arial" w:hAnsi="Arial"/>
                <w:color w:val="404040"/>
                <w:sz w:val="20"/>
                <w:szCs w:val="20"/>
              </w:rPr>
              <w:t xml:space="preserve">  2. Surgical cystgastrostomy — open or laparoscopic if endoscopic approach fails or anatomy unfavorable</w:t>
            </w:r>
          </w:p>
          <w:p>
            <w:pPr>
              <w:pStyle w:val="ListParagraph"/>
              <w:numPr>
                <w:ilvl w:val="0"/>
                <w:numId w:val="2"/>
              </w:numPr>
              <w:spacing w:before="20" w:after="20"/>
            </w:pPr>
            <w:r>
              <w:rPr>
                <w:rFonts w:ascii="Arial" w:cs="Arial" w:eastAsia="Arial" w:hAnsi="Arial"/>
                <w:color w:val="404040"/>
                <w:sz w:val="20"/>
                <w:szCs w:val="20"/>
              </w:rPr>
              <w:t xml:space="preserve">  3. Endoscopic ultrasound-guided drainage improves safety by identifying intervening vessels</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Endoscopic drainage has replaced surgical drainage as the first-line approach for most pseudocysts — candidate should know this. Surgical remains appropriate when endoscopy fails or anatomy precludes it.</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Surgical cystgastrostomy — describe the operation</w:t>
            </w:r>
          </w:p>
          <w:p>
            <w:pPr>
              <w:spacing w:before="40"/>
            </w:pPr>
            <w:r>
              <w:rPr>
                <w:rFonts w:ascii="Arial" w:cs="Arial" w:eastAsia="Arial" w:hAnsi="Arial"/>
                <w:i/>
                <w:iCs/>
                <w:color w:val="404040"/>
                <w:sz w:val="20"/>
                <w:szCs w:val="20"/>
              </w:rPr>
              <w:t xml:space="preserve">Endoscopic drainage has failed — the pseudocyst is not adjacent to the stomach. You plan an open surgical cystgastrostomy. Walk through the procedure.</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Upper midline incision</w:t>
            </w:r>
          </w:p>
          <w:p>
            <w:pPr>
              <w:pStyle w:val="ListParagraph"/>
              <w:numPr>
                <w:ilvl w:val="0"/>
                <w:numId w:val="2"/>
              </w:numPr>
              <w:spacing w:before="20" w:after="20"/>
            </w:pPr>
            <w:r>
              <w:rPr>
                <w:rFonts w:ascii="Arial" w:cs="Arial" w:eastAsia="Arial" w:hAnsi="Arial"/>
                <w:color w:val="404040"/>
                <w:sz w:val="20"/>
                <w:szCs w:val="20"/>
              </w:rPr>
              <w:t xml:space="preserve">Explore abdomen, assess for varices (if portal/splenic vein thrombosis — precludes posterior approach)</w:t>
            </w:r>
          </w:p>
          <w:p>
            <w:pPr>
              <w:pStyle w:val="ListParagraph"/>
              <w:numPr>
                <w:ilvl w:val="0"/>
                <w:numId w:val="2"/>
              </w:numPr>
              <w:spacing w:before="20" w:after="20"/>
            </w:pPr>
            <w:r>
              <w:rPr>
                <w:rFonts w:ascii="Arial" w:cs="Arial" w:eastAsia="Arial" w:hAnsi="Arial"/>
                <w:color w:val="404040"/>
                <w:sz w:val="20"/>
                <w:szCs w:val="20"/>
              </w:rPr>
              <w:t xml:space="preserve">Anterior gastrotomy — Babcock clamp to deliver anterior gastric wall</w:t>
            </w:r>
          </w:p>
          <w:p>
            <w:pPr>
              <w:pStyle w:val="ListParagraph"/>
              <w:numPr>
                <w:ilvl w:val="0"/>
                <w:numId w:val="2"/>
              </w:numPr>
              <w:spacing w:before="20" w:after="20"/>
            </w:pPr>
            <w:r>
              <w:rPr>
                <w:rFonts w:ascii="Arial" w:cs="Arial" w:eastAsia="Arial" w:hAnsi="Arial"/>
                <w:color w:val="404040"/>
                <w:sz w:val="20"/>
                <w:szCs w:val="20"/>
              </w:rPr>
              <w:t xml:space="preserve">Expose posterior gastric wall by retracting anterior gastrotomy edges</w:t>
            </w:r>
          </w:p>
          <w:p>
            <w:pPr>
              <w:pStyle w:val="ListParagraph"/>
              <w:numPr>
                <w:ilvl w:val="0"/>
                <w:numId w:val="2"/>
              </w:numPr>
              <w:spacing w:before="20" w:after="20"/>
            </w:pPr>
            <w:r>
              <w:rPr>
                <w:rFonts w:ascii="Arial" w:cs="Arial" w:eastAsia="Arial" w:hAnsi="Arial"/>
                <w:color w:val="404040"/>
                <w:sz w:val="20"/>
                <w:szCs w:val="20"/>
              </w:rPr>
              <w:t xml:space="preserve">Palpate and confirm pseudocyst through posterior wall</w:t>
            </w:r>
          </w:p>
          <w:p>
            <w:pPr>
              <w:pStyle w:val="ListParagraph"/>
              <w:numPr>
                <w:ilvl w:val="0"/>
                <w:numId w:val="2"/>
              </w:numPr>
              <w:spacing w:before="20" w:after="20"/>
            </w:pPr>
            <w:r>
              <w:rPr>
                <w:rFonts w:ascii="Arial" w:cs="Arial" w:eastAsia="Arial" w:hAnsi="Arial"/>
                <w:color w:val="404040"/>
                <w:sz w:val="20"/>
                <w:szCs w:val="20"/>
              </w:rPr>
              <w:t xml:space="preserve">Needle aspiration to confirm cyst (fluid vs vascular structure)</w:t>
            </w:r>
          </w:p>
          <w:p>
            <w:pPr>
              <w:pStyle w:val="ListParagraph"/>
              <w:numPr>
                <w:ilvl w:val="0"/>
                <w:numId w:val="2"/>
              </w:numPr>
              <w:spacing w:before="20" w:after="20"/>
            </w:pPr>
            <w:r>
              <w:rPr>
                <w:rFonts w:ascii="Arial" w:cs="Arial" w:eastAsia="Arial" w:hAnsi="Arial"/>
                <w:color w:val="404040"/>
                <w:sz w:val="20"/>
                <w:szCs w:val="20"/>
              </w:rPr>
              <w:t xml:space="preserve">Electrocautery incision through posterior gastric wall into cyst — make anastomosis at least 4–5 cm wide</w:t>
            </w:r>
          </w:p>
          <w:p>
            <w:pPr>
              <w:pStyle w:val="ListParagraph"/>
              <w:numPr>
                <w:ilvl w:val="0"/>
                <w:numId w:val="2"/>
              </w:numPr>
              <w:spacing w:before="20" w:after="20"/>
            </w:pPr>
            <w:r>
              <w:rPr>
                <w:rFonts w:ascii="Arial" w:cs="Arial" w:eastAsia="Arial" w:hAnsi="Arial"/>
                <w:color w:val="404040"/>
                <w:sz w:val="20"/>
                <w:szCs w:val="20"/>
              </w:rPr>
              <w:t xml:space="preserve">Biopsy cyst wall to exclude cystic neoplasm</w:t>
            </w:r>
          </w:p>
          <w:p>
            <w:pPr>
              <w:pStyle w:val="ListParagraph"/>
              <w:numPr>
                <w:ilvl w:val="0"/>
                <w:numId w:val="2"/>
              </w:numPr>
              <w:spacing w:before="20" w:after="20"/>
            </w:pPr>
            <w:r>
              <w:rPr>
                <w:rFonts w:ascii="Arial" w:cs="Arial" w:eastAsia="Arial" w:hAnsi="Arial"/>
                <w:color w:val="404040"/>
                <w:sz w:val="20"/>
                <w:szCs w:val="20"/>
              </w:rPr>
              <w:t xml:space="preserve">Debride any necrotic material</w:t>
            </w:r>
          </w:p>
          <w:p>
            <w:pPr>
              <w:pStyle w:val="ListParagraph"/>
              <w:numPr>
                <w:ilvl w:val="0"/>
                <w:numId w:val="2"/>
              </w:numPr>
              <w:spacing w:before="20" w:after="20"/>
            </w:pPr>
            <w:r>
              <w:rPr>
                <w:rFonts w:ascii="Arial" w:cs="Arial" w:eastAsia="Arial" w:hAnsi="Arial"/>
                <w:color w:val="404040"/>
                <w:sz w:val="20"/>
                <w:szCs w:val="20"/>
              </w:rPr>
              <w:t xml:space="preserve">Oversew anastomosis edges for hemostasis</w:t>
            </w:r>
          </w:p>
          <w:p>
            <w:pPr>
              <w:pStyle w:val="ListParagraph"/>
              <w:numPr>
                <w:ilvl w:val="0"/>
                <w:numId w:val="2"/>
              </w:numPr>
              <w:spacing w:before="20" w:after="20"/>
            </w:pPr>
            <w:r>
              <w:rPr>
                <w:rFonts w:ascii="Arial" w:cs="Arial" w:eastAsia="Arial" w:hAnsi="Arial"/>
                <w:color w:val="404040"/>
                <w:sz w:val="20"/>
                <w:szCs w:val="20"/>
              </w:rPr>
              <w:t xml:space="preserve">Close anterior gastrotomy in two layers</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3  </w:t>
            </w:r>
            <w:r>
              <w:rPr>
                <w:rFonts w:ascii="Arial" w:cs="Arial" w:eastAsia="Arial" w:hAnsi="Arial"/>
                <w:b/>
                <w:bCs/>
                <w:color w:val="404040"/>
                <w:sz w:val="20"/>
                <w:szCs w:val="20"/>
              </w:rPr>
              <w:t xml:space="preserve">Infected pseudocyst / sepsis</w:t>
            </w:r>
          </w:p>
          <w:p>
            <w:pPr>
              <w:spacing w:before="40"/>
            </w:pPr>
            <w:r>
              <w:rPr>
                <w:rFonts w:ascii="Arial" w:cs="Arial" w:eastAsia="Arial" w:hAnsi="Arial"/>
                <w:i/>
                <w:iCs/>
                <w:color w:val="404040"/>
                <w:sz w:val="20"/>
                <w:szCs w:val="20"/>
              </w:rPr>
              <w:t xml:space="preserve">The patient is admitted from the ED with fever, leukocytosis, and hypotension. CT shows multiple air bubbles within the pseudocyst cavity. He is transferred to ICU, intubated, on vasopressors. What do you do?</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IV broad-spectrum antibiotics (cover gram-negatives, anaerobes, enterococcus)</w:t>
            </w:r>
          </w:p>
          <w:p>
            <w:pPr>
              <w:pStyle w:val="ListParagraph"/>
              <w:numPr>
                <w:ilvl w:val="0"/>
                <w:numId w:val="2"/>
              </w:numPr>
              <w:spacing w:before="20" w:after="20"/>
            </w:pPr>
            <w:r>
              <w:rPr>
                <w:rFonts w:ascii="Arial" w:cs="Arial" w:eastAsia="Arial" w:hAnsi="Arial"/>
                <w:color w:val="404040"/>
                <w:sz w:val="20"/>
                <w:szCs w:val="20"/>
              </w:rPr>
              <w:t xml:space="preserve">Drain the infected collection — percutaneous CT-guided drainage is first-line (step-up approach)</w:t>
            </w:r>
          </w:p>
          <w:p>
            <w:pPr>
              <w:pStyle w:val="ListParagraph"/>
              <w:numPr>
                <w:ilvl w:val="0"/>
                <w:numId w:val="2"/>
              </w:numPr>
              <w:spacing w:before="20" w:after="20"/>
            </w:pPr>
            <w:r>
              <w:rPr>
                <w:rFonts w:ascii="Arial" w:cs="Arial" w:eastAsia="Arial" w:hAnsi="Arial"/>
                <w:color w:val="404040"/>
                <w:sz w:val="20"/>
                <w:szCs w:val="20"/>
              </w:rPr>
              <w:t xml:space="preserve">If percutaneous drainage fails or patient continues to deteriorate: minimally invasive necrosectomy (video-assisted retroperitoneal debridement, endoscopic transluminal necrosectomy)</w:t>
            </w:r>
          </w:p>
          <w:p>
            <w:pPr>
              <w:pStyle w:val="ListParagraph"/>
              <w:numPr>
                <w:ilvl w:val="0"/>
                <w:numId w:val="2"/>
              </w:numPr>
              <w:spacing w:before="20" w:after="20"/>
            </w:pPr>
            <w:r>
              <w:rPr>
                <w:rFonts w:ascii="Arial" w:cs="Arial" w:eastAsia="Arial" w:hAnsi="Arial"/>
                <w:color w:val="404040"/>
                <w:sz w:val="20"/>
                <w:szCs w:val="20"/>
              </w:rPr>
              <w:t xml:space="preserve">Open pancreatic necrosectomy reserved for failure of all minimally invasive options — associated with high morbidity</w:t>
            </w:r>
          </w:p>
          <w:p>
            <w:pPr>
              <w:pStyle w:val="ListParagraph"/>
              <w:numPr>
                <w:ilvl w:val="0"/>
                <w:numId w:val="2"/>
              </w:numPr>
              <w:spacing w:before="20" w:after="20"/>
            </w:pPr>
            <w:r>
              <w:rPr>
                <w:rFonts w:ascii="Arial" w:cs="Arial" w:eastAsia="Arial" w:hAnsi="Arial"/>
                <w:color w:val="404040"/>
                <w:sz w:val="20"/>
                <w:szCs w:val="20"/>
              </w:rPr>
              <w:t xml:space="preserve">NEJM PANTER and TENSION trials support the step-up approach over primary open surgery</w:t>
            </w:r>
          </w:p>
          <w:p>
            <w:pPr>
              <w:pStyle w:val="ListParagraph"/>
              <w:numPr>
                <w:ilvl w:val="0"/>
                <w:numId w:val="2"/>
              </w:numPr>
              <w:spacing w:before="20" w:after="20"/>
            </w:pPr>
            <w:r>
              <w:rPr>
                <w:rFonts w:ascii="Arial" w:cs="Arial" w:eastAsia="Arial" w:hAnsi="Arial"/>
                <w:color w:val="404040"/>
                <w:sz w:val="20"/>
                <w:szCs w:val="20"/>
              </w:rPr>
              <w:t xml:space="preserve">Complications of necrosectomy to know: hemorrhage, pancreatic duct leak, pancreatic fistula, enterocutaneous fistula</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Candidate must know the step-up approach. Going directly to open necrosectomy is no longer standard of care.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Draining an immature pseudocyst (&lt;4 weeks) — risk of failure and fistula formation</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Failing to obtain MRCP/MRI to assess ductal anatomy before intervention</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Not biopsying the cyst wall intraoperatively (missing a cystic neoplasm)</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Making the cystgastrostomy anastomosis less than 3 cm — risk of early closure and recurrence</w:t>
            </w:r>
          </w:p>
          <w:p>
            <w:pPr>
              <w:spacing w:before="40"/>
            </w:pPr>
            <w:r>
              <w:rPr>
                <w:rFonts w:ascii="Arial" w:cs="Arial" w:eastAsia="Arial" w:hAnsi="Arial"/>
                <w:b/>
                <w:bCs/>
                <w:color w:val="C00000"/>
                <w:sz w:val="20"/>
                <w:szCs w:val="20"/>
              </w:rPr>
              <w:t xml:space="preserve">☐  </w:t>
            </w:r>
            <w:r>
              <w:rPr>
                <w:rFonts w:ascii="Arial" w:cs="Arial" w:eastAsia="Arial" w:hAnsi="Arial"/>
                <w:color w:val="C00000"/>
                <w:sz w:val="20"/>
                <w:szCs w:val="20"/>
              </w:rPr>
              <w:t xml:space="preserve">Going directly to open necrosectomy for infected necrosis without attempting percutaneous drainage first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Pseudocysts vs WOPN: use MRI/MRCP to distinguish — treatment differs significantly (fluid only vs solid necrotic debris)</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Step-up approach for infected pancreatic necrosis: percutaneous → endoscopic/VARD → open (PANTER trial)</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Always biopsy the cyst wall intraoperatively to exclude a cystic neoplasm</w:t>
            </w:r>
          </w:p>
          <w:p>
            <w:pPr>
              <w:spacing w:before="40"/>
            </w:pPr>
            <w:r>
              <w:rPr>
                <w:rFonts w:ascii="Arial" w:cs="Arial" w:eastAsia="Arial" w:hAnsi="Arial"/>
                <w:color w:val="375623"/>
                <w:sz w:val="20"/>
                <w:szCs w:val="20"/>
              </w:rPr>
              <w:t xml:space="preserve">•  </w:t>
            </w:r>
            <w:r>
              <w:rPr>
                <w:rFonts w:ascii="Arial" w:cs="Arial" w:eastAsia="Arial" w:hAnsi="Arial"/>
                <w:color w:val="404040"/>
                <w:sz w:val="20"/>
                <w:szCs w:val="20"/>
              </w:rPr>
              <w:t xml:space="preserve">If splenic/portal vein thrombosis is present, assess for perigastric varices before anterior cystgastrostomy — varices may preclude this approach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van Santvoort HC et al. A step-up approach vs open necrosectomy for necrotizing pancreatitis (PANTER trial). NEJM 2010;362:1491-1502</w:t>
            </w:r>
          </w:p>
          <w:p>
            <w:pPr>
              <w:spacing w:before="30"/>
            </w:pPr>
            <w:r>
              <w:rPr>
                <w:rFonts w:ascii="Arial" w:cs="Arial" w:eastAsia="Arial" w:hAnsi="Arial"/>
                <w:i/>
                <w:iCs/>
                <w:color w:val="595959"/>
                <w:sz w:val="18"/>
                <w:szCs w:val="18"/>
              </w:rPr>
              <w:t xml:space="preserve">Banks PA et al. Classification of acute pancreatitis — 2012 revision of the Atlanta classification. Gut 2013;62:102-111</w:t>
            </w:r>
          </w:p>
          <w:p>
            <w:pPr>
              <w:spacing w:before="30"/>
            </w:pPr>
            <w:r>
              <w:rPr>
                <w:rFonts w:ascii="Arial" w:cs="Arial" w:eastAsia="Arial" w:hAnsi="Arial"/>
                <w:i/>
                <w:iCs/>
                <w:color w:val="595959"/>
                <w:sz w:val="18"/>
                <w:szCs w:val="18"/>
              </w:rPr>
              <w:t xml:space="preserve">ASGE Standards of Practice Committee. Role of endoscopy in the management of pancreatic pseudocysts. Gastrointest Endosc 2014;81:804-814</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Pancreatic Pseudocyst</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Hepatobiliary/Pancreas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2026-03-21T20:39:12.303Z</dcterms:created>
  <dcterms:modified xsi:type="dcterms:W3CDTF">2026-03-21T20:39:12.303Z</dcterms:modified>
</cp:coreProperties>
</file>

<file path=docProps/custom.xml><?xml version="1.0" encoding="utf-8"?>
<Properties xmlns="http://schemas.openxmlformats.org/officeDocument/2006/custom-properties" xmlns:vt="http://schemas.openxmlformats.org/officeDocument/2006/docPropsVTypes"/>
</file>