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Pediatric Duodenal Hematoma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Pediatric Surgery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04040"/>
                <w:sz w:val="22"/>
                <w:szCs w:val="22"/>
              </w:rPr>
              <w:t xml:space="preserve">An 11-year-old boy is brought to the emergency department after falling from his skateboard and landing his abdomen on a rail. He complains of worsening epigastric pain, nausea, and vomiting. Vitals are normal. Abdomen is moderately tender in the epigastrium. Labs show serum amylase of 150 U/L. No external signs of bruising.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tests the candidate's understanding of non-operative management of blunt duodenal injury and their ability to recognize non-accidental trauma (NAT). Do not raise NAT unless the candidate does — but if they do not after managing the case, ask: 'Is there anything about the mechanism or history that concerns you?'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Duodenal hematoma with potential obstruction (most likely given epigastric injury + amylase elevation)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Hollow viscus injury (duodenal perforation)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Pancreatic laceration — amylase 150 is mildly elevated, may reflect early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Mesenteric injury or vascular injury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Amylase 150 is mildly elevated and non-specific — pancreatitis, duodenal injury, and salivary amylase can all cause mild elevation. It raises suspicion but is not diagnostic.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additional workup do you need?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 and pelvis with IV contrast — gold standard, best characterizes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ATLS primary and secondary survey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Targeted trauma panels: CBC, CMP, coagulation studies, type and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Upright chest X-ray to evaluate for free 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an isolated hematoma in the 3rd portion of the duodenum without current obstruction. Patient has mild improvement with pain medication. What is your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Admit for observation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IV fluids, nasogastric decompression if symptomatic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 abdominal examinations every 4–6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closely — obstruction commonly develops 24–48 hours post-injury due to progressive fluid shift into hematoma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Majority of intramural duodenal hematomas resolve with non-operative management over 5–21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48 hours later, patient has worsening nausea and vomiting, cannot tolerate any PO intake. Diagnosis and next step?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Progressive duodenal obstruction from expanding hematoma — clinical diagnosis confirmed by UGI study (water-soluble contrast showing 'coiled spring' or 'stack of coins' narrowing)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Continue non-operative management: strict NPO, NGT decompression, TPN for nutritional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Non-operative management successful in ~80% of cases within 1–3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operative management if: no improvement after 2–3 weeks, clinical deterioration, or signs of perforation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Intraoperative finding of duodenal hematoma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You proceed to OR for suspected injury. During laparotomy, you find an intramural duodenal hematoma. Walk through your operative management.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Kocher maneuver to fully mobilize the duodenum — expose D1–D4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Careful inspection for any evidence of full-thickness injury or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Methylene blue via NGT with duodenum occluded — assess for mucosal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Evacuate hematoma if it causes &gt;50% luminal obstruction — longitudinal incision on lateral/anterior duodenal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violate the mucosa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Achieve hemostasis by ligating bleeding vessels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 proximal portion of incision with interrupted absorbable sutures; leave mid-portion open to prevent re-accumulation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Leave a closed-suction drain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Full-thickness duodenal laceration from penetrating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9-year-old with stab wound to RUQ. Laparotomy reveals a full-thickness laceration of the second portion of the duodenum.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repair if: &lt;24 hours since injury, involves D2–D4 (not involving ampulla or CBD), laceration &lt;50% of circumference, no significant devitalization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Two-layer closure: inner layer absorbable running, outer layer interrupted seromuscular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Drain widely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&gt;50% circumference involved: resection with Roux-en-Y duodenojejunostomy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ampullary involvement: pancreaticoduodenectomy (Whipple) — only if expertise available; otherwise damage control with planned transfer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D1 injuries near pylorus: consider antrectomy with gastrojejunostomy (pyloric exclusion)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Pyloric exclusion (oversew pylorus + gastrojejunostomy + duodenostomy tube) is used for complex D2 injuries to divert enteric flow while repair heals — know the indications.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3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Non-accidental trauma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You are managing the original patient. On review, the skateboard injury mechanism seems inconsistent with the severity of the duodenal injury. The hematoma is in the 3rd-4th portion of the duodenum. What concerns you and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Duodenal hematoma in the 3rd/4th portion (retroperitoneal) should raise strong suspicion for non-accidental trauma (NAT) — this location is inconsistent with skateboard/handlebar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mechanism of NAT: punch or kick to upper abdomen in young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reporting to child protective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Social work consultation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Skeletal survey to look for occult fractures at different stages of healing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Ophthalmology evaluation for retinal hemorrhages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Notify hospital child protection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Duodenal hematoma is a classic finding in non-accidental trauma, particularly when the mechanism is inconsistent.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Proceeding to immediate surgery for stable duodenal hematoma without attempting non-operative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Failing to recognize non-accidental trauma as a possible etiology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Performing a primary repair of a duodenal injury with &gt;50% circumference involvement (should resect or perform pyloric exclusion)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Violating the duodenal mucosa while evacuating a hematoma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intramural duodenal hematomas resolve non-operatively within 2–3 weeks — TPN support is key during this period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Obstruction classically develops 24–48 hours post-injury due to progressive fluid shift — set expectations for family and nursing staff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Duodenal hematoma in D3–D4 in a child should trigger NAT workup until proven otherwise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Pyloric exclusion: temporary pylorus oversewing + gastrojejunostomy + duodenostomy tube to divert flow from complex D2 injuries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Jewett TC Jr et al. Traumatic duodenal hematoma in children. J Pediatr Surg 1988;23:916-918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APSA Trauma Committee. Non-operative management of duodenal hematoma — J Trauma 2006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EAST Practice Management Guidelines: Blunt Duodenal Injuries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Pediatric Duodenal Hematoma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Pediatric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2026-03-21T20:39:12.413Z</dcterms:created>
  <dcterms:modified xsi:type="dcterms:W3CDTF">2026-03-21T20:39:12.413Z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