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Pediatric Pyloric Stenosis</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6"/>
                <w:szCs w:val="16"/>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6"/>
                <w:szCs w:val="16"/>
              </w:rPr>
              <w:t xml:space="preserve">LEVEL</w:t>
            </w:r>
          </w:p>
          <w:p>
            <w:pPr>
              <w:jc w:val="center"/>
            </w:pPr>
            <w:r>
              <w:rPr>
                <w:rFonts w:ascii="Arial" w:cs="Arial" w:eastAsia="Arial" w:hAnsi="Arial"/>
                <w:b/>
                <w:bCs/>
                <w:color w:val="FFFFFF"/>
                <w:sz w:val="18"/>
                <w:szCs w:val="18"/>
              </w:rPr>
              <w:t xml:space="preserve">PGY 2–5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6"/>
                <w:szCs w:val="16"/>
              </w:rPr>
              <w:t xml:space="preserve">DOMAIN</w:t>
            </w:r>
          </w:p>
          <w:p>
            <w:pPr>
              <w:jc w:val="center"/>
            </w:pPr>
            <w:r>
              <w:rPr>
                <w:rFonts w:ascii="Arial" w:cs="Arial" w:eastAsia="Arial" w:hAnsi="Arial"/>
                <w:b/>
                <w:bCs/>
                <w:color w:val="FFFFFF"/>
                <w:sz w:val="16"/>
                <w:szCs w:val="16"/>
              </w:rPr>
              <w:t xml:space="preserve">Pediatric Surgery</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i w:val="false"/>
                <w:iCs w:val="false"/>
                <w:color w:val="404040"/>
                <w:sz w:val="22"/>
                <w:szCs w:val="22"/>
              </w:rPr>
              <w:t xml:space="preserve">You are asked to consult on a 4-week-old male infant admitted to the PICU for dehydration and electrolyte abnormalities. He was born full-term without complications and was developing normally until the past few days, when he began having episodes of projectile, non-bilious vomiting after feedings. He is now lethargic and has a sunken fontanelle. He is tachycardic on the monitor. Abdomen: soft, non-distended, non-tender. No palpable mass. Visible gastric peristaltic waves on abdominal inspection. Labs: Na 129, K 1.8, Cl 93, HCO3 44, Hb 14.</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The candidate must establish the diagnosis clinically and on ultrasound, then MUST correct electrolytes BEFORE taking the patient to the OR. Taking this patient to the OR without electrolyte correction is an automatic fail. Probe their knowledge of the specific correction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your differential diagnosis?</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Hypertrophic pyloric stenosis (most likely — classic age, non-bilious projectile vomiting, electrolyte pattern, visible peristalsis)</w:t>
            </w:r>
          </w:p>
          <w:p>
            <w:pPr>
              <w:pStyle w:val="ListParagraph"/>
              <w:numPr>
                <w:ilvl w:val="0"/>
                <w:numId w:val="2"/>
              </w:numPr>
              <w:spacing w:before="20" w:after="20"/>
            </w:pPr>
            <w:r>
              <w:rPr>
                <w:rFonts w:ascii="Arial" w:cs="Arial" w:eastAsia="Arial" w:hAnsi="Arial"/>
                <w:color w:val="404040"/>
                <w:sz w:val="20"/>
                <w:szCs w:val="20"/>
              </w:rPr>
              <w:t xml:space="preserve">Gastroesophageal reflux — usually not projectile; no electrolyte abnormalities</w:t>
            </w:r>
          </w:p>
          <w:p>
            <w:pPr>
              <w:pStyle w:val="ListParagraph"/>
              <w:numPr>
                <w:ilvl w:val="0"/>
                <w:numId w:val="2"/>
              </w:numPr>
              <w:spacing w:before="20" w:after="20"/>
            </w:pPr>
            <w:r>
              <w:rPr>
                <w:rFonts w:ascii="Arial" w:cs="Arial" w:eastAsia="Arial" w:hAnsi="Arial"/>
                <w:color w:val="404040"/>
                <w:sz w:val="20"/>
                <w:szCs w:val="20"/>
              </w:rPr>
              <w:t xml:space="preserve">Antral or duodenal web</w:t>
            </w:r>
          </w:p>
          <w:p>
            <w:pPr>
              <w:pStyle w:val="ListParagraph"/>
              <w:numPr>
                <w:ilvl w:val="0"/>
                <w:numId w:val="2"/>
              </w:numPr>
              <w:spacing w:before="20" w:after="20"/>
            </w:pPr>
            <w:r>
              <w:rPr>
                <w:rFonts w:ascii="Arial" w:cs="Arial" w:eastAsia="Arial" w:hAnsi="Arial"/>
                <w:color w:val="404040"/>
                <w:sz w:val="20"/>
                <w:szCs w:val="20"/>
              </w:rPr>
              <w:t xml:space="preserve">Pylorospasm</w:t>
            </w:r>
          </w:p>
          <w:p>
            <w:pPr>
              <w:pStyle w:val="ListParagraph"/>
              <w:numPr>
                <w:ilvl w:val="0"/>
                <w:numId w:val="2"/>
              </w:numPr>
              <w:spacing w:before="20" w:after="20"/>
            </w:pPr>
            <w:r>
              <w:rPr>
                <w:rFonts w:ascii="Arial" w:cs="Arial" w:eastAsia="Arial" w:hAnsi="Arial"/>
                <w:color w:val="404040"/>
                <w:sz w:val="20"/>
                <w:szCs w:val="20"/>
              </w:rPr>
              <w:t xml:space="preserve">Gastric volvulus (rare)</w:t>
            </w:r>
          </w:p>
          <w:p>
            <w:pPr>
              <w:pStyle w:val="ListParagraph"/>
              <w:numPr>
                <w:ilvl w:val="0"/>
                <w:numId w:val="2"/>
              </w:numPr>
              <w:spacing w:before="20" w:after="20"/>
            </w:pPr>
            <w:r>
              <w:rPr>
                <w:rFonts w:ascii="Arial" w:cs="Arial" w:eastAsia="Arial" w:hAnsi="Arial"/>
                <w:color w:val="404040"/>
                <w:sz w:val="20"/>
                <w:szCs w:val="20"/>
              </w:rPr>
              <w:t xml:space="preserve">Adrenal insufficiency (can mimic electrolyte pattern — rule out)</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Key differentiator: bilious vomiting suggests distal (small bowel) obstruction. Non-bilious projectile vomiting in a 3–6 week old = pyloric stenosis until proven otherwise.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electrolyte disturbances are present and how do you interpret them?</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Hypochloremic, hypokalemic metabolic ALKALOSIS — classic for pyloric stenosis</w:t>
            </w:r>
          </w:p>
          <w:p>
            <w:pPr>
              <w:pStyle w:val="ListParagraph"/>
              <w:numPr>
                <w:ilvl w:val="0"/>
                <w:numId w:val="2"/>
              </w:numPr>
              <w:spacing w:before="20" w:after="20"/>
            </w:pPr>
            <w:r>
              <w:rPr>
                <w:rFonts w:ascii="Arial" w:cs="Arial" w:eastAsia="Arial" w:hAnsi="Arial"/>
                <w:color w:val="404040"/>
                <w:sz w:val="20"/>
                <w:szCs w:val="20"/>
              </w:rPr>
              <w:t xml:space="preserve">Mechanism: vomiting of gastric HCl → loss of H+ and Cl−; kidney compensates by excreting K+ to retain H+ (paradoxical aciduria)</w:t>
            </w:r>
          </w:p>
          <w:p>
            <w:pPr>
              <w:pStyle w:val="ListParagraph"/>
              <w:numPr>
                <w:ilvl w:val="0"/>
                <w:numId w:val="2"/>
              </w:numPr>
              <w:spacing w:before="20" w:after="20"/>
            </w:pPr>
            <w:r>
              <w:rPr>
                <w:rFonts w:ascii="Arial" w:cs="Arial" w:eastAsia="Arial" w:hAnsi="Arial"/>
                <w:color w:val="404040"/>
                <w:sz w:val="20"/>
                <w:szCs w:val="20"/>
              </w:rPr>
              <w:t xml:space="preserve">Na 129 = hyponatremia from total body water deficit</w:t>
            </w:r>
          </w:p>
          <w:p>
            <w:pPr>
              <w:pStyle w:val="ListParagraph"/>
              <w:numPr>
                <w:ilvl w:val="0"/>
                <w:numId w:val="2"/>
              </w:numPr>
              <w:spacing w:before="20" w:after="20"/>
            </w:pPr>
            <w:r>
              <w:rPr>
                <w:rFonts w:ascii="Arial" w:cs="Arial" w:eastAsia="Arial" w:hAnsi="Arial"/>
                <w:color w:val="404040"/>
                <w:sz w:val="20"/>
                <w:szCs w:val="20"/>
              </w:rPr>
              <w:t xml:space="preserve">K 1.8 = severe hypokalemia — must be corrected BEFORE OR</w:t>
            </w:r>
          </w:p>
          <w:p>
            <w:pPr>
              <w:pStyle w:val="ListParagraph"/>
              <w:numPr>
                <w:ilvl w:val="0"/>
                <w:numId w:val="2"/>
              </w:numPr>
              <w:spacing w:before="20" w:after="20"/>
            </w:pPr>
            <w:r>
              <w:rPr>
                <w:rFonts w:ascii="Arial" w:cs="Arial" w:eastAsia="Arial" w:hAnsi="Arial"/>
                <w:color w:val="404040"/>
                <w:sz w:val="20"/>
                <w:szCs w:val="20"/>
              </w:rPr>
              <w:t xml:space="preserve">HCO3 44 = profound metabolic alkalosis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your FIRST priority before any imaging or surgical planning?</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Electrolyte resuscitation — surgery is NOT an emergency and must be DELAYED until electrolytes are corrected</w:t>
            </w:r>
          </w:p>
          <w:p>
            <w:pPr>
              <w:pStyle w:val="ListParagraph"/>
              <w:numPr>
                <w:ilvl w:val="0"/>
                <w:numId w:val="2"/>
              </w:numPr>
              <w:spacing w:before="20" w:after="20"/>
            </w:pPr>
            <w:r>
              <w:rPr>
                <w:rFonts w:ascii="Arial" w:cs="Arial" w:eastAsia="Arial" w:hAnsi="Arial"/>
                <w:color w:val="404040"/>
                <w:sz w:val="20"/>
                <w:szCs w:val="20"/>
              </w:rPr>
              <w:t xml:space="preserve">IV access (central line if needed for rapid potassium replacement)</w:t>
            </w:r>
          </w:p>
          <w:p>
            <w:pPr>
              <w:pStyle w:val="ListParagraph"/>
              <w:numPr>
                <w:ilvl w:val="0"/>
                <w:numId w:val="2"/>
              </w:numPr>
              <w:spacing w:before="20" w:after="20"/>
            </w:pPr>
            <w:r>
              <w:rPr>
                <w:rFonts w:ascii="Arial" w:cs="Arial" w:eastAsia="Arial" w:hAnsi="Arial"/>
                <w:color w:val="404040"/>
                <w:sz w:val="20"/>
                <w:szCs w:val="20"/>
              </w:rPr>
              <w:t xml:space="preserve">20 mL/kg bolus of normal saline to correct perfusion</w:t>
            </w:r>
          </w:p>
          <w:p>
            <w:pPr>
              <w:pStyle w:val="ListParagraph"/>
              <w:numPr>
                <w:ilvl w:val="0"/>
                <w:numId w:val="2"/>
              </w:numPr>
              <w:spacing w:before="20" w:after="20"/>
            </w:pPr>
            <w:r>
              <w:rPr>
                <w:rFonts w:ascii="Arial" w:cs="Arial" w:eastAsia="Arial" w:hAnsi="Arial"/>
                <w:color w:val="404040"/>
                <w:sz w:val="20"/>
                <w:szCs w:val="20"/>
              </w:rPr>
              <w:t xml:space="preserve">D5 1/2 NS with 20–40 mEq/L KCl at 1.5x maintenance rate</w:t>
            </w:r>
          </w:p>
          <w:p>
            <w:pPr>
              <w:pStyle w:val="ListParagraph"/>
              <w:numPr>
                <w:ilvl w:val="0"/>
                <w:numId w:val="2"/>
              </w:numPr>
              <w:spacing w:before="20" w:after="20"/>
            </w:pPr>
            <w:r>
              <w:rPr>
                <w:rFonts w:ascii="Arial" w:cs="Arial" w:eastAsia="Arial" w:hAnsi="Arial"/>
                <w:color w:val="404040"/>
                <w:sz w:val="20"/>
                <w:szCs w:val="20"/>
              </w:rPr>
              <w:t xml:space="preserve">Monitor urine output closely — confirm adequate urine output before potassium supplementation to prevent hyperkalemia</w:t>
            </w:r>
          </w:p>
          <w:p>
            <w:pPr>
              <w:pStyle w:val="ListParagraph"/>
              <w:numPr>
                <w:ilvl w:val="0"/>
                <w:numId w:val="2"/>
              </w:numPr>
              <w:spacing w:before="20" w:after="20"/>
            </w:pPr>
            <w:r>
              <w:rPr>
                <w:rFonts w:ascii="Arial" w:cs="Arial" w:eastAsia="Arial" w:hAnsi="Arial"/>
                <w:color w:val="404040"/>
                <w:sz w:val="20"/>
                <w:szCs w:val="20"/>
              </w:rPr>
              <w:t xml:space="preserve">Correction targets: K &gt;3.5, HCO3 &lt;30, Cl approaching 100</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CRITICAL: Taking this patient to OR before electrolyte correction puts the child at risk of apnea and death. This is the most important teaching point of this case.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Ultrasound confirms pyloric stenosis. What are the sonographic criteria?</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Pyloric muscle thickness ≥3 mm</w:t>
            </w:r>
          </w:p>
          <w:p>
            <w:pPr>
              <w:pStyle w:val="ListParagraph"/>
              <w:numPr>
                <w:ilvl w:val="0"/>
                <w:numId w:val="2"/>
              </w:numPr>
              <w:spacing w:before="20" w:after="20"/>
            </w:pPr>
            <w:r>
              <w:rPr>
                <w:rFonts w:ascii="Arial" w:cs="Arial" w:eastAsia="Arial" w:hAnsi="Arial"/>
                <w:color w:val="404040"/>
                <w:sz w:val="20"/>
                <w:szCs w:val="20"/>
              </w:rPr>
              <w:t xml:space="preserve">Pyloric channel length ≥15 mm</w:t>
            </w:r>
          </w:p>
          <w:p>
            <w:pPr>
              <w:pStyle w:val="ListParagraph"/>
              <w:numPr>
                <w:ilvl w:val="0"/>
                <w:numId w:val="2"/>
              </w:numPr>
              <w:spacing w:before="20" w:after="20"/>
            </w:pPr>
            <w:r>
              <w:rPr>
                <w:rFonts w:ascii="Arial" w:cs="Arial" w:eastAsia="Arial" w:hAnsi="Arial"/>
                <w:color w:val="404040"/>
                <w:sz w:val="20"/>
                <w:szCs w:val="20"/>
              </w:rPr>
              <w:t xml:space="preserve">Non-passage of fluid through the pylorus (dynamic finding)</w:t>
            </w:r>
          </w:p>
          <w:p>
            <w:pPr>
              <w:pStyle w:val="ListParagraph"/>
              <w:numPr>
                <w:ilvl w:val="0"/>
                <w:numId w:val="2"/>
              </w:numPr>
              <w:spacing w:before="20" w:after="20"/>
            </w:pPr>
            <w:r>
              <w:rPr>
                <w:rFonts w:ascii="Arial" w:cs="Arial" w:eastAsia="Arial" w:hAnsi="Arial"/>
                <w:color w:val="404040"/>
                <w:sz w:val="20"/>
                <w:szCs w:val="20"/>
              </w:rPr>
              <w:t xml:space="preserve">Absent peristalsis through the pyloric channel</w:t>
            </w:r>
          </w:p>
          <w:p>
            <w:pPr>
              <w:pStyle w:val="ListParagraph"/>
              <w:numPr>
                <w:ilvl w:val="0"/>
                <w:numId w:val="2"/>
              </w:numPr>
              <w:spacing w:before="20" w:after="20"/>
            </w:pPr>
            <w:r>
              <w:rPr>
                <w:rFonts w:ascii="Arial" w:cs="Arial" w:eastAsia="Arial" w:hAnsi="Arial"/>
                <w:color w:val="404040"/>
                <w:sz w:val="20"/>
                <w:szCs w:val="20"/>
              </w:rPr>
              <w:t xml:space="preserve">Note: normal pyloric thickness &lt;3 mm, channel length &lt;12 mm</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Electrolytes are corrected. Describe the Ramstedt pyloromyotomy — open technique.</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Position: supine, roll under thorax to extend abdomen</w:t>
            </w:r>
          </w:p>
          <w:p>
            <w:pPr>
              <w:pStyle w:val="ListParagraph"/>
              <w:numPr>
                <w:ilvl w:val="0"/>
                <w:numId w:val="2"/>
              </w:numPr>
              <w:spacing w:before="20" w:after="20"/>
            </w:pPr>
            <w:r>
              <w:rPr>
                <w:rFonts w:ascii="Arial" w:cs="Arial" w:eastAsia="Arial" w:hAnsi="Arial"/>
                <w:color w:val="404040"/>
                <w:sz w:val="20"/>
                <w:szCs w:val="20"/>
              </w:rPr>
              <w:t xml:space="preserve">NGT placed to decompress stomach pre-incision</w:t>
            </w:r>
          </w:p>
          <w:p>
            <w:pPr>
              <w:pStyle w:val="ListParagraph"/>
              <w:numPr>
                <w:ilvl w:val="0"/>
                <w:numId w:val="2"/>
              </w:numPr>
              <w:spacing w:before="20" w:after="20"/>
            </w:pPr>
            <w:r>
              <w:rPr>
                <w:rFonts w:ascii="Arial" w:cs="Arial" w:eastAsia="Arial" w:hAnsi="Arial"/>
                <w:color w:val="404040"/>
                <w:sz w:val="20"/>
                <w:szCs w:val="20"/>
              </w:rPr>
              <w:t xml:space="preserve">Incision: right upper quadrant transverse (RUQ Ramsed), supraumbilical transverse, or umbilical</w:t>
            </w:r>
          </w:p>
          <w:p>
            <w:pPr>
              <w:pStyle w:val="ListParagraph"/>
              <w:numPr>
                <w:ilvl w:val="0"/>
                <w:numId w:val="2"/>
              </w:numPr>
              <w:spacing w:before="20" w:after="20"/>
            </w:pPr>
            <w:r>
              <w:rPr>
                <w:rFonts w:ascii="Arial" w:cs="Arial" w:eastAsia="Arial" w:hAnsi="Arial"/>
                <w:color w:val="404040"/>
                <w:sz w:val="20"/>
                <w:szCs w:val="20"/>
              </w:rPr>
              <w:t xml:space="preserve">Deliver pylorus into wound with Babcock clamp, grasp stomach</w:t>
            </w:r>
          </w:p>
          <w:p>
            <w:pPr>
              <w:pStyle w:val="ListParagraph"/>
              <w:numPr>
                <w:ilvl w:val="0"/>
                <w:numId w:val="2"/>
              </w:numPr>
              <w:spacing w:before="20" w:after="20"/>
            </w:pPr>
            <w:r>
              <w:rPr>
                <w:rFonts w:ascii="Arial" w:cs="Arial" w:eastAsia="Arial" w:hAnsi="Arial"/>
                <w:color w:val="404040"/>
                <w:sz w:val="20"/>
                <w:szCs w:val="20"/>
              </w:rPr>
              <w:t xml:space="preserve">Serosal incision along the anterior surface from proximal gastric antrum, 2 mm proximal to the pyloric vein, through the pyloric mass to the duodenum</w:t>
            </w:r>
          </w:p>
          <w:p>
            <w:pPr>
              <w:pStyle w:val="ListParagraph"/>
              <w:numPr>
                <w:ilvl w:val="0"/>
                <w:numId w:val="2"/>
              </w:numPr>
              <w:spacing w:before="20" w:after="20"/>
            </w:pPr>
            <w:r>
              <w:rPr>
                <w:rFonts w:ascii="Arial" w:cs="Arial" w:eastAsia="Arial" w:hAnsi="Arial"/>
                <w:color w:val="404040"/>
                <w:sz w:val="20"/>
                <w:szCs w:val="20"/>
              </w:rPr>
              <w:t xml:space="preserve">Blunt spread of pyloric muscle with pyloric spreader (or smooth clamp) to expose mucosa without violating it</w:t>
            </w:r>
          </w:p>
          <w:p>
            <w:pPr>
              <w:pStyle w:val="ListParagraph"/>
              <w:numPr>
                <w:ilvl w:val="0"/>
                <w:numId w:val="2"/>
              </w:numPr>
              <w:spacing w:before="20" w:after="20"/>
            </w:pPr>
            <w:r>
              <w:rPr>
                <w:rFonts w:ascii="Arial" w:cs="Arial" w:eastAsia="Arial" w:hAnsi="Arial"/>
                <w:color w:val="404040"/>
                <w:sz w:val="20"/>
                <w:szCs w:val="20"/>
              </w:rPr>
              <w:t xml:space="preserve">Confirm: mucosa bulges freely; both halves of split muscle move independently</w:t>
            </w:r>
          </w:p>
          <w:p>
            <w:pPr>
              <w:pStyle w:val="ListParagraph"/>
              <w:numPr>
                <w:ilvl w:val="0"/>
                <w:numId w:val="2"/>
              </w:numPr>
              <w:spacing w:before="20" w:after="20"/>
            </w:pPr>
            <w:r>
              <w:rPr>
                <w:rFonts w:ascii="Arial" w:cs="Arial" w:eastAsia="Arial" w:hAnsi="Arial"/>
                <w:color w:val="404040"/>
                <w:sz w:val="20"/>
                <w:szCs w:val="20"/>
              </w:rPr>
              <w:t xml:space="preserve">Anesthesiologist: fill stomach with air via NGT to confirm no leak (bubbling through saline-moistened field)</w:t>
            </w:r>
          </w:p>
          <w:p>
            <w:pPr>
              <w:pStyle w:val="ListParagraph"/>
              <w:numPr>
                <w:ilvl w:val="0"/>
                <w:numId w:val="2"/>
              </w:numPr>
              <w:spacing w:before="20" w:after="20"/>
            </w:pPr>
            <w:r>
              <w:rPr>
                <w:rFonts w:ascii="Arial" w:cs="Arial" w:eastAsia="Arial" w:hAnsi="Arial"/>
                <w:color w:val="404040"/>
                <w:sz w:val="20"/>
                <w:szCs w:val="20"/>
              </w:rPr>
              <w:t xml:space="preserve">If perforation: close with absorbable suture, rotate pyloromyotomy 180° and redo</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Mucosal perforation during pyloromyotomy</w:t>
            </w:r>
          </w:p>
          <w:p>
            <w:pPr>
              <w:spacing w:before="40"/>
            </w:pPr>
            <w:r>
              <w:rPr>
                <w:rFonts w:ascii="Arial" w:cs="Arial" w:eastAsia="Arial" w:hAnsi="Arial"/>
                <w:i/>
                <w:iCs/>
                <w:color w:val="404040"/>
                <w:sz w:val="20"/>
                <w:szCs w:val="20"/>
              </w:rPr>
              <w:t xml:space="preserve">During the pyloromyotomy, you notice a small full-thickness enterotomy of the mucosa at the duodenal end. What do you do?</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Do NOT panic — convert to controlled situation</w:t>
            </w:r>
          </w:p>
          <w:p>
            <w:pPr>
              <w:pStyle w:val="ListParagraph"/>
              <w:numPr>
                <w:ilvl w:val="0"/>
                <w:numId w:val="2"/>
              </w:numPr>
              <w:spacing w:before="20" w:after="20"/>
            </w:pPr>
            <w:r>
              <w:rPr>
                <w:rFonts w:ascii="Arial" w:cs="Arial" w:eastAsia="Arial" w:hAnsi="Arial"/>
                <w:color w:val="404040"/>
                <w:sz w:val="20"/>
                <w:szCs w:val="20"/>
              </w:rPr>
              <w:t xml:space="preserve">Close the enterotomy with interrupted 4-0 absorbable suture</w:t>
            </w:r>
          </w:p>
          <w:p>
            <w:pPr>
              <w:pStyle w:val="ListParagraph"/>
              <w:numPr>
                <w:ilvl w:val="0"/>
                <w:numId w:val="2"/>
              </w:numPr>
              <w:spacing w:before="20" w:after="20"/>
            </w:pPr>
            <w:r>
              <w:rPr>
                <w:rFonts w:ascii="Arial" w:cs="Arial" w:eastAsia="Arial" w:hAnsi="Arial"/>
                <w:color w:val="404040"/>
                <w:sz w:val="20"/>
                <w:szCs w:val="20"/>
              </w:rPr>
              <w:t xml:space="preserve">Rotate the pylorus 180° to expose the posterior surface</w:t>
            </w:r>
          </w:p>
          <w:p>
            <w:pPr>
              <w:pStyle w:val="ListParagraph"/>
              <w:numPr>
                <w:ilvl w:val="0"/>
                <w:numId w:val="2"/>
              </w:numPr>
              <w:spacing w:before="20" w:after="20"/>
            </w:pPr>
            <w:r>
              <w:rPr>
                <w:rFonts w:ascii="Arial" w:cs="Arial" w:eastAsia="Arial" w:hAnsi="Arial"/>
                <w:color w:val="404040"/>
                <w:sz w:val="20"/>
                <w:szCs w:val="20"/>
              </w:rPr>
              <w:t xml:space="preserve">Perform a second pyloromyotomy on the posterior surface, ensuring separation from the repaired enterotomy</w:t>
            </w:r>
          </w:p>
          <w:p>
            <w:pPr>
              <w:pStyle w:val="ListParagraph"/>
              <w:numPr>
                <w:ilvl w:val="0"/>
                <w:numId w:val="2"/>
              </w:numPr>
              <w:spacing w:before="20" w:after="20"/>
            </w:pPr>
            <w:r>
              <w:rPr>
                <w:rFonts w:ascii="Arial" w:cs="Arial" w:eastAsia="Arial" w:hAnsi="Arial"/>
                <w:color w:val="404040"/>
                <w:sz w:val="20"/>
                <w:szCs w:val="20"/>
              </w:rPr>
              <w:t xml:space="preserve">Test with air insufflation to confirm no leak</w:t>
            </w:r>
          </w:p>
          <w:p>
            <w:pPr>
              <w:pStyle w:val="ListParagraph"/>
              <w:numPr>
                <w:ilvl w:val="0"/>
                <w:numId w:val="2"/>
              </w:numPr>
              <w:spacing w:before="20" w:after="20"/>
            </w:pPr>
            <w:r>
              <w:rPr>
                <w:rFonts w:ascii="Arial" w:cs="Arial" w:eastAsia="Arial" w:hAnsi="Arial"/>
                <w:color w:val="404040"/>
                <w:sz w:val="20"/>
                <w:szCs w:val="20"/>
              </w:rPr>
              <w:t xml:space="preserve">Drain not routinely required but may place if concerned</w:t>
            </w:r>
          </w:p>
          <w:p>
            <w:pPr>
              <w:pStyle w:val="ListParagraph"/>
              <w:numPr>
                <w:ilvl w:val="0"/>
                <w:numId w:val="2"/>
              </w:numPr>
              <w:spacing w:before="20" w:after="20"/>
            </w:pPr>
            <w:r>
              <w:rPr>
                <w:rFonts w:ascii="Arial" w:cs="Arial" w:eastAsia="Arial" w:hAnsi="Arial"/>
                <w:color w:val="404040"/>
                <w:sz w:val="20"/>
                <w:szCs w:val="20"/>
              </w:rPr>
              <w:t xml:space="preserve">Convert to open if laparoscopic approach and unable to repair reliably</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Persistent vomiting post-op</w:t>
            </w:r>
          </w:p>
          <w:p>
            <w:pPr>
              <w:spacing w:before="40"/>
            </w:pPr>
            <w:r>
              <w:rPr>
                <w:rFonts w:ascii="Arial" w:cs="Arial" w:eastAsia="Arial" w:hAnsi="Arial"/>
                <w:i/>
                <w:iCs/>
                <w:color w:val="404040"/>
                <w:sz w:val="20"/>
                <w:szCs w:val="20"/>
              </w:rPr>
              <w:t xml:space="preserve">The infant is POD 7 and still vomiting after feeds. The parents are concerned. What do you do?</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Some postoperative emesis is normal and expected for up to 2 weeks — counsel parents preoperatively</w:t>
            </w:r>
          </w:p>
          <w:p>
            <w:pPr>
              <w:pStyle w:val="ListParagraph"/>
              <w:numPr>
                <w:ilvl w:val="0"/>
                <w:numId w:val="2"/>
              </w:numPr>
              <w:spacing w:before="20" w:after="20"/>
            </w:pPr>
            <w:r>
              <w:rPr>
                <w:rFonts w:ascii="Arial" w:cs="Arial" w:eastAsia="Arial" w:hAnsi="Arial"/>
                <w:color w:val="404040"/>
                <w:sz w:val="20"/>
                <w:szCs w:val="20"/>
              </w:rPr>
              <w:t xml:space="preserve">If persistent beyond 1–2 weeks: obtain UGI study with water-soluble contrast</w:t>
            </w:r>
          </w:p>
          <w:p>
            <w:pPr>
              <w:pStyle w:val="ListParagraph"/>
              <w:numPr>
                <w:ilvl w:val="0"/>
                <w:numId w:val="2"/>
              </w:numPr>
              <w:spacing w:before="20" w:after="20"/>
            </w:pPr>
            <w:r>
              <w:rPr>
                <w:rFonts w:ascii="Arial" w:cs="Arial" w:eastAsia="Arial" w:hAnsi="Arial"/>
                <w:color w:val="404040"/>
                <w:sz w:val="20"/>
                <w:szCs w:val="20"/>
              </w:rPr>
              <w:t xml:space="preserve">UGI will show 'string sign' — thin channel through the pyloric region — if pyloromyotomy is adequate</w:t>
            </w:r>
          </w:p>
          <w:p>
            <w:pPr>
              <w:pStyle w:val="ListParagraph"/>
              <w:numPr>
                <w:ilvl w:val="0"/>
                <w:numId w:val="2"/>
              </w:numPr>
              <w:spacing w:before="20" w:after="20"/>
            </w:pPr>
            <w:r>
              <w:rPr>
                <w:rFonts w:ascii="Arial" w:cs="Arial" w:eastAsia="Arial" w:hAnsi="Arial"/>
                <w:color w:val="404040"/>
                <w:sz w:val="20"/>
                <w:szCs w:val="20"/>
              </w:rPr>
              <w:t xml:space="preserve">US is NOT helpful postoperatively — pyloric muscle remains thickened even after successful myotomy; this is expected</w:t>
            </w:r>
          </w:p>
          <w:p>
            <w:pPr>
              <w:pStyle w:val="ListParagraph"/>
              <w:numPr>
                <w:ilvl w:val="0"/>
                <w:numId w:val="2"/>
              </w:numPr>
              <w:spacing w:before="20" w:after="20"/>
            </w:pPr>
            <w:r>
              <w:rPr>
                <w:rFonts w:ascii="Arial" w:cs="Arial" w:eastAsia="Arial" w:hAnsi="Arial"/>
                <w:color w:val="404040"/>
                <w:sz w:val="20"/>
                <w:szCs w:val="20"/>
              </w:rPr>
              <w:t xml:space="preserve">If UGI shows incomplete myotomy: re-operation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Taking the infant to the OR without first correcting electrolytes (especially K and HCO3) — risk of perioperative apnea and death</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Violating the duodenal mucosa without recognizing or repairing it</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Using the US finding of persistent muscle thickening to diagnose failed pyloromyotomy (normal post-op finding)</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Ordering UGI barium study rather than water-soluble contrast in a neonate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Pyloric stenosis is NOT a surgical emergency — resuscitation and electrolyte correction always precede the OR. A child taken to OR with K &lt;3.0 or HCO3 &gt;35 is at serious anesthetic risk.</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Targets before OR: K &gt;3.5 mEq/L, HCO3 &lt;30 mEq/L, Cl approaching 100 mEq/L</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Post-operative emesis: common for up to 2 weeks — US useless for diagnosis of incomplete myotomy; UGI is the study of choice</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Mucosal perforation management: close → rotate 180° → new myotomy on opposite surface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St. Peter SD et al. Laparoscopic vs open pyloromyotomy — a prospective randomized trial. J Pediatr Surg 2006;41:1172</w:t>
            </w:r>
          </w:p>
          <w:p>
            <w:pPr>
              <w:spacing w:before="30"/>
            </w:pPr>
            <w:r>
              <w:rPr>
                <w:rFonts w:ascii="Arial" w:cs="Arial" w:eastAsia="Arial" w:hAnsi="Arial"/>
                <w:i/>
                <w:iCs/>
                <w:color w:val="595959"/>
                <w:sz w:val="18"/>
                <w:szCs w:val="18"/>
              </w:rPr>
              <w:t xml:space="preserve">Schwartz MZ. Hypertrophic pyloric stenosis. In: Ashcraft's Pediatric Surgery, 6th ed.</w:t>
            </w:r>
          </w:p>
          <w:p>
            <w:pPr>
              <w:spacing w:before="30"/>
            </w:pPr>
            <w:r>
              <w:rPr>
                <w:rFonts w:ascii="Arial" w:cs="Arial" w:eastAsia="Arial" w:hAnsi="Arial"/>
                <w:i/>
                <w:iCs/>
                <w:color w:val="595959"/>
                <w:sz w:val="18"/>
                <w:szCs w:val="18"/>
              </w:rPr>
              <w:t xml:space="preserve">Hall NJ et al. Randomized trial of laparoscopic vs open pyloromyotomy (CoPP). Ann Surg 2009</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Pediatric Pyloric Stenosis</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Pediatric Surgery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2026-03-21T20:39:12.497Z</dcterms:created>
  <dcterms:modified xsi:type="dcterms:W3CDTF">2026-03-21T20:39:12.497Z</dcterms:modified>
</cp:coreProperties>
</file>

<file path=docProps/custom.xml><?xml version="1.0" encoding="utf-8"?>
<Properties xmlns="http://schemas.openxmlformats.org/officeDocument/2006/custom-properties" xmlns:vt="http://schemas.openxmlformats.org/officeDocument/2006/docPropsVTypes"/>
</file>