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4"/>
                <w:szCs w:val="24"/>
              </w:rPr>
              <w:t xml:space="preserve">Abdominal Compartment Syndrome</w:t>
            </w:r>
          </w:p>
        </w:tc>
        <w:tc>
          <w:tcPr>
            <w:tcW w:type="dxa" w:w="1560"/>
            <w:tcBorders>
              <w:top w:val="single" w:color="1F3864" w:sz="1"/>
              <w:left w:val="single" w:color="1F3864" w:sz="1"/>
              <w:bottom w:val="single" w:color="1F3864" w:sz="1"/>
              <w:right w:val="single" w:color="1F3864" w:sz="1"/>
            </w:tcBorders>
            <w:shd w:fill="2E75B6" w:val="clear"/>
            <w:tcMar>
              <w:top w:type="dxa" w:w="80"/>
              <w:left w:type="dxa" w:w="80"/>
              <w:bottom w:type="dxa" w:w="80"/>
              <w:right w:type="dxa" w:w="80"/>
            </w:tcMar>
          </w:tcPr>
          <w:p>
            <w:pPr>
              <w:jc w:val="center"/>
            </w:pPr>
            <w:r>
              <w:rPr>
                <w:rFonts w:ascii="Arial" w:cs="Arial" w:eastAsia="Arial" w:hAnsi="Arial"/>
                <w:color w:val="D6E4F0"/>
                <w:sz w:val="15"/>
                <w:szCs w:val="15"/>
              </w:rPr>
              <w:t xml:space="preserve">SCORE</w:t>
            </w:r>
          </w:p>
          <w:p>
            <w:pPr>
              <w:jc w:val="center"/>
            </w:pPr>
            <w:r>
              <w:rPr>
                <w:rFonts w:ascii="Arial" w:cs="Arial" w:eastAsia="Arial" w:hAnsi="Arial"/>
                <w:b/>
                <w:bCs/>
                <w:color w:val="FFFFFF"/>
                <w:sz w:val="18"/>
                <w:szCs w:val="18"/>
              </w:rPr>
              <w:t xml:space="preserve">Core</w:t>
            </w:r>
          </w:p>
        </w:tc>
        <w:tc>
          <w:tcPr>
            <w:tcW w:type="dxa" w:w="1560"/>
            <w:tcBorders>
              <w:top w:val="single" w:color="1F3864" w:sz="1"/>
              <w:left w:val="single" w:color="1F3864" w:sz="1"/>
              <w:bottom w:val="single" w:color="1F3864" w:sz="1"/>
              <w:right w:val="single" w:color="1F3864" w:sz="1"/>
            </w:tcBorders>
            <w:shd w:fill="2E75B6" w:val="clear"/>
            <w:tcMar>
              <w:top w:type="dxa" w:w="80"/>
              <w:left w:type="dxa" w:w="80"/>
              <w:bottom w:type="dxa" w:w="80"/>
              <w:right w:type="dxa" w:w="80"/>
            </w:tcMar>
          </w:tcPr>
          <w:p>
            <w:pPr>
              <w:jc w:val="center"/>
            </w:pPr>
            <w:r>
              <w:rPr>
                <w:rFonts w:ascii="Arial" w:cs="Arial" w:eastAsia="Arial" w:hAnsi="Arial"/>
                <w:color w:val="D6E4F0"/>
                <w:sz w:val="15"/>
                <w:szCs w:val="15"/>
              </w:rPr>
              <w:t xml:space="preserve">LEVEL</w:t>
            </w:r>
          </w:p>
          <w:p>
            <w:pPr>
              <w:jc w:val="center"/>
            </w:pPr>
            <w:r>
              <w:rPr>
                <w:rFonts w:ascii="Arial" w:cs="Arial" w:eastAsia="Arial" w:hAnsi="Arial"/>
                <w:b/>
                <w:bCs/>
                <w:color w:val="FFFFFF"/>
                <w:sz w:val="18"/>
                <w:szCs w:val="18"/>
              </w:rPr>
              <w:t xml:space="preserve">PGY 4–5</w:t>
            </w:r>
          </w:p>
        </w:tc>
        <w:tc>
          <w:tcPr>
            <w:tcW w:type="dxa" w:w="1560"/>
            <w:tcBorders>
              <w:top w:val="single" w:color="1F3864" w:sz="1"/>
              <w:left w:val="single" w:color="1F3864" w:sz="1"/>
              <w:bottom w:val="single" w:color="1F3864" w:sz="1"/>
              <w:right w:val="single" w:color="1F3864" w:sz="1"/>
            </w:tcBorders>
            <w:shd w:fill="2E75B6" w:val="clear"/>
            <w:tcMar>
              <w:top w:type="dxa" w:w="80"/>
              <w:left w:type="dxa" w:w="80"/>
              <w:bottom w:type="dxa" w:w="80"/>
              <w:right w:type="dxa" w:w="80"/>
            </w:tcMar>
          </w:tcPr>
          <w:p>
            <w:pPr>
              <w:jc w:val="center"/>
            </w:pPr>
            <w:r>
              <w:rPr>
                <w:rFonts w:ascii="Arial" w:cs="Arial" w:eastAsia="Arial" w:hAnsi="Arial"/>
                <w:color w:val="D6E4F0"/>
                <w:sz w:val="15"/>
                <w:szCs w:val="15"/>
              </w:rPr>
              <w:t xml:space="preserve">DOMAIN</w:t>
            </w:r>
          </w:p>
          <w:p>
            <w:pPr>
              <w:jc w:val="center"/>
            </w:pPr>
            <w:r>
              <w:rPr>
                <w:rFonts w:ascii="Arial" w:cs="Arial" w:eastAsia="Arial" w:hAnsi="Arial"/>
                <w:b/>
                <w:bCs/>
                <w:color w:val="FFFFFF"/>
                <w:sz w:val="15"/>
                <w:szCs w:val="15"/>
              </w:rPr>
              <w:t xml:space="preserve">Critical Care</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PATIENT STEM — Read aloud to candidate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CCCCCC" w:sz="1"/>
            </w:tcBorders>
            <w:shd w:fill="D6E4F0" w:val="clear"/>
            <w:tcMar>
              <w:top w:type="dxa" w:w="100"/>
              <w:left w:type="dxa" w:w="160"/>
              <w:bottom w:type="dxa" w:w="100"/>
              <w:right w:type="dxa" w:w="160"/>
            </w:tcMar>
          </w:tcPr>
          <w:p>
            <w:r>
              <w:rPr>
                <w:rFonts w:ascii="Arial" w:cs="Arial" w:eastAsia="Arial" w:hAnsi="Arial"/>
                <w:color w:val="404040"/>
                <w:sz w:val="22"/>
                <w:szCs w:val="22"/>
              </w:rPr>
              <w:t xml:space="preserve">A 39-year-old male underwent emergency laparotomy 12 hours ago for a GSW with grade IV liver laceration requiring packing and damage control surgery. He received 14 units pRBC, 10 units FFP, and 8L crystalloid. Abdomen was temporarily closed with towel clips. ICU: ventilator peak pressures increased from 24 to 42 cmH2O. Urine output: 5 mL/hour. On 2 vasopressors. BP 90/60.</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1"/>
              <w:left w:val="single" w:color="595959" w:sz="1"/>
              <w:bottom w:val="single" w:color="595959" w:sz="1"/>
              <w:right w:val="single" w:color="595959" w:sz="1"/>
            </w:tcBorders>
            <w:shd w:fill="595959" w:val="clear"/>
            <w:tcMar>
              <w:top w:type="dxa" w:w="60"/>
              <w:left w:type="dxa" w:w="120"/>
              <w:bottom w:type="dxa" w:w="60"/>
              <w:right w:type="dxa" w:w="120"/>
            </w:tcMar>
          </w:tcPr>
          <w:p>
            <w:r>
              <w:rPr>
                <w:rFonts w:ascii="Arial" w:cs="Arial" w:eastAsia="Arial" w:hAnsi="Arial"/>
                <w:b/>
                <w:bCs/>
                <w:color w:val="FFFFFF"/>
                <w:sz w:val="20"/>
                <w:szCs w:val="20"/>
              </w:rPr>
              <w:t xml:space="preserve">EXAMINER INSTRUCTIONS</w:t>
            </w:r>
          </w:p>
        </w:tc>
      </w:tr>
    </w:tbl>
    <w:p>
      <w:pPr>
        <w:spacing w:before="40" w:after="80"/>
      </w:pPr>
      <w:r>
        <w:rPr>
          <w:rFonts w:ascii="Arial" w:cs="Arial" w:eastAsia="Arial" w:hAnsi="Arial"/>
          <w:i/>
          <w:iCs/>
          <w:color w:val="404040"/>
          <w:sz w:val="20"/>
          <w:szCs w:val="20"/>
        </w:rPr>
        <w:t xml:space="preserve">This is ACS from massive resuscitation. The candidate must diagnose with bladder pressure, define ACS, and proceed to immediate decompressive laparotomy. Non-surgical temporizing measures are worth knowing but are never the definitive answer when IAP is 28 with organ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CLINICAL QUESTIONS &amp; EXPECTED RESPONSES</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Q1</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What is abdominal compartment syndrome and how do you confirm it?</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ACS: sustained intra-abdominal pressure (IAP) &gt;20 mmHg WITH new or progressive organ dysfunction</w:t>
            </w:r>
          </w:p>
          <w:p>
            <w:pPr>
              <w:pStyle w:val="ListParagraph"/>
              <w:numPr>
                <w:ilvl w:val="0"/>
                <w:numId w:val="2"/>
              </w:numPr>
              <w:spacing w:before="20" w:after="20"/>
            </w:pPr>
            <w:r>
              <w:rPr>
                <w:rFonts w:ascii="Arial" w:cs="Arial" w:eastAsia="Arial" w:hAnsi="Arial"/>
                <w:color w:val="404040"/>
                <w:sz w:val="20"/>
                <w:szCs w:val="20"/>
              </w:rPr>
              <w:t xml:space="preserve">This patient: rising airway pressures (lung compliance ↓), oliguria (renal failure), hemodynamic instability = ACS picture</w:t>
            </w:r>
          </w:p>
          <w:p>
            <w:pPr>
              <w:pStyle w:val="ListParagraph"/>
              <w:numPr>
                <w:ilvl w:val="0"/>
                <w:numId w:val="2"/>
              </w:numPr>
              <w:spacing w:before="20" w:after="20"/>
            </w:pPr>
            <w:r>
              <w:rPr>
                <w:rFonts w:ascii="Arial" w:cs="Arial" w:eastAsia="Arial" w:hAnsi="Arial"/>
                <w:color w:val="404040"/>
                <w:sz w:val="20"/>
                <w:szCs w:val="20"/>
              </w:rPr>
              <w:t xml:space="preserve">Measurement: BLADDER PRESSURE (intravesicular) — gold standard for IAP</w:t>
            </w:r>
          </w:p>
          <w:p>
            <w:pPr>
              <w:pStyle w:val="ListParagraph"/>
              <w:numPr>
                <w:ilvl w:val="0"/>
                <w:numId w:val="2"/>
              </w:numPr>
              <w:spacing w:before="20" w:after="20"/>
            </w:pPr>
            <w:r>
              <w:rPr>
                <w:rFonts w:ascii="Arial" w:cs="Arial" w:eastAsia="Arial" w:hAnsi="Arial"/>
                <w:color w:val="404040"/>
                <w:sz w:val="20"/>
                <w:szCs w:val="20"/>
              </w:rPr>
              <w:t xml:space="preserve">Technique: instill 25 mL sterile saline into bladder via Foley; zero transducer at iliac crest (pubic symphysis per WSACS); measure at end-expiration</w:t>
            </w:r>
          </w:p>
          <w:p>
            <w:pPr>
              <w:pStyle w:val="ListParagraph"/>
              <w:numPr>
                <w:ilvl w:val="0"/>
                <w:numId w:val="2"/>
              </w:numPr>
              <w:spacing w:before="20" w:after="20"/>
            </w:pPr>
            <w:r>
              <w:rPr>
                <w:rFonts w:ascii="Arial" w:cs="Arial" w:eastAsia="Arial" w:hAnsi="Arial"/>
                <w:color w:val="404040"/>
                <w:sz w:val="20"/>
                <w:szCs w:val="20"/>
              </w:rPr>
              <w:t xml:space="preserve">Normal IAP: 0–5 mmHg; Intra-abdominal hypertension (IAH): IAP &gt;12; ACS: IAP &gt;20 + organ dysfunction</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Q2</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Bladder pressure is 28 mmHg. What is the immediate treatment?</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DECOMPRESSIVE LAPAROTOMY — emergent and definitive treatment</w:t>
            </w:r>
          </w:p>
          <w:p>
            <w:pPr>
              <w:pStyle w:val="ListParagraph"/>
              <w:numPr>
                <w:ilvl w:val="0"/>
                <w:numId w:val="2"/>
              </w:numPr>
              <w:spacing w:before="20" w:after="20"/>
            </w:pPr>
            <w:r>
              <w:rPr>
                <w:rFonts w:ascii="Arial" w:cs="Arial" w:eastAsia="Arial" w:hAnsi="Arial"/>
                <w:color w:val="404040"/>
                <w:sz w:val="20"/>
                <w:szCs w:val="20"/>
              </w:rPr>
              <w:t xml:space="preserve">Re-open the abdomen: remove temporary closure, open skin and fascia</w:t>
            </w:r>
          </w:p>
          <w:p>
            <w:pPr>
              <w:pStyle w:val="ListParagraph"/>
              <w:numPr>
                <w:ilvl w:val="0"/>
                <w:numId w:val="2"/>
              </w:numPr>
              <w:spacing w:before="20" w:after="20"/>
            </w:pPr>
            <w:r>
              <w:rPr>
                <w:rFonts w:ascii="Arial" w:cs="Arial" w:eastAsia="Arial" w:hAnsi="Arial"/>
                <w:color w:val="404040"/>
                <w:sz w:val="20"/>
                <w:szCs w:val="20"/>
              </w:rPr>
              <w:t xml:space="preserve">Expected immediate physiologic improvements:</w:t>
            </w:r>
          </w:p>
          <w:p>
            <w:pPr>
              <w:pStyle w:val="ListParagraph"/>
              <w:numPr>
                <w:ilvl w:val="0"/>
                <w:numId w:val="2"/>
              </w:numPr>
              <w:spacing w:before="20" w:after="20"/>
            </w:pPr>
            <w:r>
              <w:rPr>
                <w:rFonts w:ascii="Arial" w:cs="Arial" w:eastAsia="Arial" w:hAnsi="Arial"/>
                <w:color w:val="404040"/>
                <w:sz w:val="20"/>
                <w:szCs w:val="20"/>
              </w:rPr>
              <w:t xml:space="preserve">  Decrease in peak airway pressures (lung compliance restores)</w:t>
            </w:r>
          </w:p>
          <w:p>
            <w:pPr>
              <w:pStyle w:val="ListParagraph"/>
              <w:numPr>
                <w:ilvl w:val="0"/>
                <w:numId w:val="2"/>
              </w:numPr>
              <w:spacing w:before="20" w:after="20"/>
            </w:pPr>
            <w:r>
              <w:rPr>
                <w:rFonts w:ascii="Arial" w:cs="Arial" w:eastAsia="Arial" w:hAnsi="Arial"/>
                <w:color w:val="404040"/>
                <w:sz w:val="20"/>
                <w:szCs w:val="20"/>
              </w:rPr>
              <w:t xml:space="preserve">  Improvement in urine output (renal perfusion restores)</w:t>
            </w:r>
          </w:p>
          <w:p>
            <w:pPr>
              <w:pStyle w:val="ListParagraph"/>
              <w:numPr>
                <w:ilvl w:val="0"/>
                <w:numId w:val="2"/>
              </w:numPr>
              <w:spacing w:before="20" w:after="20"/>
            </w:pPr>
            <w:r>
              <w:rPr>
                <w:rFonts w:ascii="Arial" w:cs="Arial" w:eastAsia="Arial" w:hAnsi="Arial"/>
                <w:color w:val="404040"/>
                <w:sz w:val="20"/>
                <w:szCs w:val="20"/>
              </w:rPr>
              <w:t xml:space="preserve">  Decrease in vasopressor requirements</w:t>
            </w:r>
          </w:p>
          <w:p>
            <w:pPr>
              <w:pStyle w:val="ListParagraph"/>
              <w:numPr>
                <w:ilvl w:val="0"/>
                <w:numId w:val="2"/>
              </w:numPr>
              <w:spacing w:before="20" w:after="20"/>
            </w:pPr>
            <w:r>
              <w:rPr>
                <w:rFonts w:ascii="Arial" w:cs="Arial" w:eastAsia="Arial" w:hAnsi="Arial"/>
                <w:color w:val="404040"/>
                <w:sz w:val="20"/>
                <w:szCs w:val="20"/>
              </w:rPr>
              <w:t xml:space="preserve">Open abdomen management: negative-pressure wound therapy (ABThera/wound VAC) at -75 to -125 mmHg continuous suction</w:t>
            </w:r>
          </w:p>
          <w:p>
            <w:pPr>
              <w:pStyle w:val="ListParagraph"/>
              <w:numPr>
                <w:ilvl w:val="0"/>
                <w:numId w:val="2"/>
              </w:numPr>
              <w:spacing w:before="20" w:after="20"/>
            </w:pPr>
            <w:r>
              <w:rPr>
                <w:rFonts w:ascii="Arial" w:cs="Arial" w:eastAsia="Arial" w:hAnsi="Arial"/>
                <w:color w:val="404040"/>
                <w:sz w:val="20"/>
                <w:szCs w:val="20"/>
              </w:rPr>
              <w:t xml:space="preserve">Goal: achieve fascial closure as soon as physiologically feasible — typically with planned re-looks every 24–48 hours</w:t>
            </w:r>
          </w:p>
        </w:tc>
      </w:tr>
      <w:tr>
        <w:tc>
          <w:tcPr>
            <w:tcW w:type="dxa" w:w="6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F6000"/>
                <w:sz w:val="18"/>
                <w:szCs w:val="18"/>
              </w:rPr>
              <w:t xml:space="preserve">!</w:t>
            </w:r>
          </w:p>
        </w:tc>
        <w:tc>
          <w:tcPr>
            <w:tcW w:type="dxa" w:w="87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7F6000"/>
                <w:sz w:val="19"/>
                <w:szCs w:val="19"/>
              </w:rPr>
              <w:t xml:space="preserve">Examiner note: </w:t>
            </w:r>
            <w:r>
              <w:rPr>
                <w:rFonts w:ascii="Arial" w:cs="Arial" w:eastAsia="Arial" w:hAnsi="Arial"/>
                <w:i/>
                <w:iCs/>
                <w:color w:val="404040"/>
                <w:sz w:val="19"/>
                <w:szCs w:val="19"/>
              </w:rPr>
              <w:t xml:space="preserve">Do NOT attempt fascial closure under tension when IAP was 28 — recurrent ACS is certain.</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Q3</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What non-surgical interventions can temporarily reduce IAP while preparing for decompression?</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These are TEMPORIZING measures only — decompressive laparotomy remains definitive when IAP &gt;25 with organ failure</w:t>
            </w:r>
          </w:p>
          <w:p>
            <w:pPr>
              <w:pStyle w:val="ListParagraph"/>
              <w:numPr>
                <w:ilvl w:val="0"/>
                <w:numId w:val="2"/>
              </w:numPr>
              <w:spacing w:before="20" w:after="20"/>
            </w:pPr>
            <w:r>
              <w:rPr>
                <w:rFonts w:ascii="Arial" w:cs="Arial" w:eastAsia="Arial" w:hAnsi="Arial"/>
                <w:color w:val="404040"/>
                <w:sz w:val="20"/>
                <w:szCs w:val="20"/>
              </w:rPr>
              <w:t xml:space="preserve">Neuromuscular blockade: reduces abdominal wall muscular tension</w:t>
            </w:r>
          </w:p>
          <w:p>
            <w:pPr>
              <w:pStyle w:val="ListParagraph"/>
              <w:numPr>
                <w:ilvl w:val="0"/>
                <w:numId w:val="2"/>
              </w:numPr>
              <w:spacing w:before="20" w:after="20"/>
            </w:pPr>
            <w:r>
              <w:rPr>
                <w:rFonts w:ascii="Arial" w:cs="Arial" w:eastAsia="Arial" w:hAnsi="Arial"/>
                <w:color w:val="404040"/>
                <w:sz w:val="20"/>
                <w:szCs w:val="20"/>
              </w:rPr>
              <w:t xml:space="preserve">Head of bed: keep at 10–20° maximum — HOB elevation &gt;30° worsens IAP</w:t>
            </w:r>
          </w:p>
          <w:p>
            <w:pPr>
              <w:pStyle w:val="ListParagraph"/>
              <w:numPr>
                <w:ilvl w:val="0"/>
                <w:numId w:val="2"/>
              </w:numPr>
              <w:spacing w:before="20" w:after="20"/>
            </w:pPr>
            <w:r>
              <w:rPr>
                <w:rFonts w:ascii="Arial" w:cs="Arial" w:eastAsia="Arial" w:hAnsi="Arial"/>
                <w:color w:val="404040"/>
                <w:sz w:val="20"/>
                <w:szCs w:val="20"/>
              </w:rPr>
              <w:t xml:space="preserve">Nasogastric and/or rectal decompression: evacuate luminal contents if ileus contributing</w:t>
            </w:r>
          </w:p>
          <w:p>
            <w:pPr>
              <w:pStyle w:val="ListParagraph"/>
              <w:numPr>
                <w:ilvl w:val="0"/>
                <w:numId w:val="2"/>
              </w:numPr>
              <w:spacing w:before="20" w:after="20"/>
            </w:pPr>
            <w:r>
              <w:rPr>
                <w:rFonts w:ascii="Arial" w:cs="Arial" w:eastAsia="Arial" w:hAnsi="Arial"/>
                <w:color w:val="404040"/>
                <w:sz w:val="20"/>
                <w:szCs w:val="20"/>
              </w:rPr>
              <w:t xml:space="preserve">Diuresis: only if euvolemic or hypervolemic — not reliable in shock state</w:t>
            </w:r>
          </w:p>
          <w:p>
            <w:pPr>
              <w:pStyle w:val="ListParagraph"/>
              <w:numPr>
                <w:ilvl w:val="0"/>
                <w:numId w:val="2"/>
              </w:numPr>
              <w:spacing w:before="20" w:after="20"/>
            </w:pPr>
            <w:r>
              <w:rPr>
                <w:rFonts w:ascii="Arial" w:cs="Arial" w:eastAsia="Arial" w:hAnsi="Arial"/>
                <w:color w:val="404040"/>
                <w:sz w:val="20"/>
                <w:szCs w:val="20"/>
              </w:rPr>
              <w:t xml:space="preserve">Paracentesis: effective if ascites is a major contributing factor (cirrhotic patients)</w:t>
            </w:r>
          </w:p>
          <w:p>
            <w:pPr>
              <w:pStyle w:val="ListParagraph"/>
              <w:numPr>
                <w:ilvl w:val="0"/>
                <w:numId w:val="2"/>
              </w:numPr>
              <w:spacing w:before="20" w:after="20"/>
            </w:pPr>
            <w:r>
              <w:rPr>
                <w:rFonts w:ascii="Arial" w:cs="Arial" w:eastAsia="Arial" w:hAnsi="Arial"/>
                <w:color w:val="404040"/>
                <w:sz w:val="20"/>
                <w:szCs w:val="20"/>
              </w:rPr>
              <w:t xml:space="preserve">Avoid additional fluid boluses if possible — optimize vasopressors</w:t>
            </w:r>
          </w:p>
        </w:tc>
      </w:tr>
      <w:tr>
        <w:tc>
          <w:tcPr>
            <w:tcW w:type="dxa" w:w="6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F6000"/>
                <w:sz w:val="18"/>
                <w:szCs w:val="18"/>
              </w:rPr>
              <w:t xml:space="preserve">!</w:t>
            </w:r>
          </w:p>
        </w:tc>
        <w:tc>
          <w:tcPr>
            <w:tcW w:type="dxa" w:w="87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7F6000"/>
                <w:sz w:val="19"/>
                <w:szCs w:val="19"/>
              </w:rPr>
              <w:t xml:space="preserve">Examiner note: </w:t>
            </w:r>
            <w:r>
              <w:rPr>
                <w:rFonts w:ascii="Arial" w:cs="Arial" w:eastAsia="Arial" w:hAnsi="Arial"/>
                <w:i/>
                <w:iCs/>
                <w:color w:val="404040"/>
                <w:sz w:val="19"/>
                <w:szCs w:val="19"/>
              </w:rPr>
              <w:t xml:space="preserve">At IAP 28 with multi-organ failure: temporizing measures will NOT be sufficient — do not delay definitive decompression with these maneuvers.</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60"/>
              <w:left w:type="dxa" w:w="120"/>
              <w:bottom w:type="dxa" w:w="60"/>
              <w:right w:type="dxa" w:w="120"/>
            </w:tcMar>
          </w:tcPr>
          <w:p>
            <w:r>
              <w:rPr>
                <w:rFonts w:ascii="Arial" w:cs="Arial" w:eastAsia="Arial" w:hAnsi="Arial"/>
                <w:b/>
                <w:bCs/>
                <w:color w:val="FFFFFF"/>
                <w:sz w:val="20"/>
                <w:szCs w:val="20"/>
              </w:rPr>
              <w:t xml:space="preserve">EVOLUTIONS — Examiner-directed scenario pivots</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C55A11" w:sz="1"/>
              <w:left w:val="single" w:color="C55A11" w:sz="16"/>
              <w:bottom w:val="single" w:color="C55A11"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EVOLUTION 1  </w:t>
            </w:r>
            <w:r>
              <w:rPr>
                <w:rFonts w:ascii="Arial" w:cs="Arial" w:eastAsia="Arial" w:hAnsi="Arial"/>
                <w:b/>
                <w:bCs/>
                <w:color w:val="404040"/>
                <w:sz w:val="20"/>
                <w:szCs w:val="20"/>
              </w:rPr>
              <w:t xml:space="preserve">Open abdomen management and fascial closure</w:t>
            </w:r>
          </w:p>
          <w:p>
            <w:pPr>
              <w:spacing w:before="40"/>
            </w:pPr>
            <w:r>
              <w:rPr>
                <w:rFonts w:ascii="Arial" w:cs="Arial" w:eastAsia="Arial" w:hAnsi="Arial"/>
                <w:i/>
                <w:iCs/>
                <w:color w:val="404040"/>
                <w:sz w:val="20"/>
                <w:szCs w:val="20"/>
              </w:rPr>
              <w:t xml:space="preserve">After decompression, patient improves over 48 hours. Planned re-look is performed. How do you manage the open abdomen?</w:t>
            </w:r>
          </w:p>
        </w:tc>
      </w:tr>
      <w:tr>
        <w:tc>
          <w:tcPr>
            <w:tcW w:type="dxa" w:w="6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C55A11"/>
                <w:sz w:val="18"/>
                <w:szCs w:val="18"/>
              </w:rPr>
              <w:t xml:space="preserve">►</w:t>
            </w:r>
          </w:p>
        </w:tc>
        <w:tc>
          <w:tcPr>
            <w:tcW w:type="dxa" w:w="8760"/>
            <w:tcBorders>
              <w:top w:val="single" w:color="CCCCCC" w:sz="1"/>
              <w:left w:val="single" w:color="CCCCCC" w:sz="1"/>
              <w:bottom w:val="single" w:color="CCCCCC" w:sz="1"/>
              <w:right w:val="single" w:color="CCCCCC" w:sz="1"/>
            </w:tcBorders>
            <w:shd w:fill="FFFA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Planned re-look at 24–48 hours: assess hepatic packs, bowel viability, anastomoses if any</w:t>
            </w:r>
          </w:p>
          <w:p>
            <w:pPr>
              <w:pStyle w:val="ListParagraph"/>
              <w:numPr>
                <w:ilvl w:val="0"/>
                <w:numId w:val="2"/>
              </w:numPr>
              <w:spacing w:before="20" w:after="20"/>
            </w:pPr>
            <w:r>
              <w:rPr>
                <w:rFonts w:ascii="Arial" w:cs="Arial" w:eastAsia="Arial" w:hAnsi="Arial"/>
                <w:color w:val="404040"/>
                <w:sz w:val="20"/>
                <w:szCs w:val="20"/>
              </w:rPr>
              <w:t xml:space="preserve">Replace packs if soaked — return every 48 hours until hemostatic</w:t>
            </w:r>
          </w:p>
          <w:p>
            <w:pPr>
              <w:pStyle w:val="ListParagraph"/>
              <w:numPr>
                <w:ilvl w:val="0"/>
                <w:numId w:val="2"/>
              </w:numPr>
              <w:spacing w:before="20" w:after="20"/>
            </w:pPr>
            <w:r>
              <w:rPr>
                <w:rFonts w:ascii="Arial" w:cs="Arial" w:eastAsia="Arial" w:hAnsi="Arial"/>
                <w:color w:val="404040"/>
                <w:sz w:val="20"/>
                <w:szCs w:val="20"/>
              </w:rPr>
              <w:t xml:space="preserve">Goal: achieve FASCIAL CLOSURE within 5–7 days — early closure rates higher with continuous vacuum therapy</w:t>
            </w:r>
          </w:p>
          <w:p>
            <w:pPr>
              <w:pStyle w:val="ListParagraph"/>
              <w:numPr>
                <w:ilvl w:val="0"/>
                <w:numId w:val="2"/>
              </w:numPr>
              <w:spacing w:before="20" w:after="20"/>
            </w:pPr>
            <w:r>
              <w:rPr>
                <w:rFonts w:ascii="Arial" w:cs="Arial" w:eastAsia="Arial" w:hAnsi="Arial"/>
                <w:color w:val="404040"/>
                <w:sz w:val="20"/>
                <w:szCs w:val="20"/>
              </w:rPr>
              <w:t xml:space="preserve">Techniques: progressive fascial tension with Bogota bag + retention sutures, Wittmann patch, ABRA dynamic closure device</w:t>
            </w:r>
          </w:p>
          <w:p>
            <w:pPr>
              <w:pStyle w:val="ListParagraph"/>
              <w:numPr>
                <w:ilvl w:val="0"/>
                <w:numId w:val="2"/>
              </w:numPr>
              <w:spacing w:before="20" w:after="20"/>
            </w:pPr>
            <w:r>
              <w:rPr>
                <w:rFonts w:ascii="Arial" w:cs="Arial" w:eastAsia="Arial" w:hAnsi="Arial"/>
                <w:color w:val="404040"/>
                <w:sz w:val="20"/>
                <w:szCs w:val="20"/>
              </w:rPr>
              <w:t xml:space="preserve">Early fascial closure at each re-look: attempt to bring fascia closer with each operation</w:t>
            </w:r>
          </w:p>
          <w:p>
            <w:pPr>
              <w:pStyle w:val="ListParagraph"/>
              <w:numPr>
                <w:ilvl w:val="0"/>
                <w:numId w:val="2"/>
              </w:numPr>
              <w:spacing w:before="20" w:after="20"/>
            </w:pPr>
            <w:r>
              <w:rPr>
                <w:rFonts w:ascii="Arial" w:cs="Arial" w:eastAsia="Arial" w:hAnsi="Arial"/>
                <w:color w:val="404040"/>
                <w:sz w:val="20"/>
                <w:szCs w:val="20"/>
              </w:rPr>
              <w:t xml:space="preserve">If fascial closure not achievable by 7–10 days: skin-only closure over granulating wound, plan delayed fascial repair (ventral hernia reconstruction) in 6–12 months</w:t>
            </w:r>
          </w:p>
        </w:tc>
      </w:tr>
      <w:tr>
        <w:tc>
          <w:tcPr>
            <w:tcW w:type="dxa" w:w="9360"/>
            <w:gridSpan w:val="2"/>
            <w:tcBorders>
              <w:top w:val="single" w:color="C55A11" w:sz="1"/>
              <w:left w:val="single" w:color="C55A11" w:sz="16"/>
              <w:bottom w:val="single" w:color="C55A11"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EVOLUTION 2  </w:t>
            </w:r>
            <w:r>
              <w:rPr>
                <w:rFonts w:ascii="Arial" w:cs="Arial" w:eastAsia="Arial" w:hAnsi="Arial"/>
                <w:b/>
                <w:bCs/>
                <w:color w:val="404040"/>
                <w:sz w:val="20"/>
                <w:szCs w:val="20"/>
              </w:rPr>
              <w:t xml:space="preserve">Recurrent ACS</w:t>
            </w:r>
          </w:p>
          <w:p>
            <w:pPr>
              <w:spacing w:before="40"/>
            </w:pPr>
            <w:r>
              <w:rPr>
                <w:rFonts w:ascii="Arial" w:cs="Arial" w:eastAsia="Arial" w:hAnsi="Arial"/>
                <w:i/>
                <w:iCs/>
                <w:color w:val="404040"/>
                <w:sz w:val="20"/>
                <w:szCs w:val="20"/>
              </w:rPr>
              <w:t xml:space="preserve">You close the fascia on day 5. Day 7: ventilator pressures again rise to 35 cmH2O, UO drops, bladder pressure 24 mmHg. What do you do?</w:t>
            </w:r>
          </w:p>
        </w:tc>
      </w:tr>
      <w:tr>
        <w:tc>
          <w:tcPr>
            <w:tcW w:type="dxa" w:w="6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C55A11"/>
                <w:sz w:val="18"/>
                <w:szCs w:val="18"/>
              </w:rPr>
              <w:t xml:space="preserve">►</w:t>
            </w:r>
          </w:p>
        </w:tc>
        <w:tc>
          <w:tcPr>
            <w:tcW w:type="dxa" w:w="8760"/>
            <w:tcBorders>
              <w:top w:val="single" w:color="CCCCCC" w:sz="1"/>
              <w:left w:val="single" w:color="CCCCCC" w:sz="1"/>
              <w:bottom w:val="single" w:color="CCCCCC" w:sz="1"/>
              <w:right w:val="single" w:color="CCCCCC" w:sz="1"/>
            </w:tcBorders>
            <w:shd w:fill="FFFA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Recurrent ACS — requires re-decompression</w:t>
            </w:r>
          </w:p>
          <w:p>
            <w:pPr>
              <w:pStyle w:val="ListParagraph"/>
              <w:numPr>
                <w:ilvl w:val="0"/>
                <w:numId w:val="2"/>
              </w:numPr>
              <w:spacing w:before="20" w:after="20"/>
            </w:pPr>
            <w:r>
              <w:rPr>
                <w:rFonts w:ascii="Arial" w:cs="Arial" w:eastAsia="Arial" w:hAnsi="Arial"/>
                <w:color w:val="404040"/>
                <w:sz w:val="20"/>
                <w:szCs w:val="20"/>
              </w:rPr>
              <w:t xml:space="preserve">Identify contributing factors: ileus, accumulation of new hematoma or abscess, bowel edema</w:t>
            </w:r>
          </w:p>
          <w:p>
            <w:pPr>
              <w:pStyle w:val="ListParagraph"/>
              <w:numPr>
                <w:ilvl w:val="0"/>
                <w:numId w:val="2"/>
              </w:numPr>
              <w:spacing w:before="20" w:after="20"/>
            </w:pPr>
            <w:r>
              <w:rPr>
                <w:rFonts w:ascii="Arial" w:cs="Arial" w:eastAsia="Arial" w:hAnsi="Arial"/>
                <w:color w:val="404040"/>
                <w:sz w:val="20"/>
                <w:szCs w:val="20"/>
              </w:rPr>
              <w:t xml:space="preserve">Re-open the abdomen immediately</w:t>
            </w:r>
          </w:p>
          <w:p>
            <w:pPr>
              <w:pStyle w:val="ListParagraph"/>
              <w:numPr>
                <w:ilvl w:val="0"/>
                <w:numId w:val="2"/>
              </w:numPr>
              <w:spacing w:before="20" w:after="20"/>
            </w:pPr>
            <w:r>
              <w:rPr>
                <w:rFonts w:ascii="Arial" w:cs="Arial" w:eastAsia="Arial" w:hAnsi="Arial"/>
                <w:color w:val="404040"/>
                <w:sz w:val="20"/>
                <w:szCs w:val="20"/>
              </w:rPr>
              <w:t xml:space="preserve">This time: leave abdomen open LONGER — increase interval between closure attempts</w:t>
            </w:r>
          </w:p>
          <w:p>
            <w:pPr>
              <w:pStyle w:val="ListParagraph"/>
              <w:numPr>
                <w:ilvl w:val="0"/>
                <w:numId w:val="2"/>
              </w:numPr>
              <w:spacing w:before="20" w:after="20"/>
            </w:pPr>
            <w:r>
              <w:rPr>
                <w:rFonts w:ascii="Arial" w:cs="Arial" w:eastAsia="Arial" w:hAnsi="Arial"/>
                <w:color w:val="404040"/>
                <w:sz w:val="20"/>
                <w:szCs w:val="20"/>
              </w:rPr>
              <w:t xml:space="preserve">Address underlying cause: treat ileus, drain collections, allow bowel edema to resolve with nutritional optimization</w:t>
            </w:r>
          </w:p>
          <w:p>
            <w:pPr>
              <w:pStyle w:val="ListParagraph"/>
              <w:numPr>
                <w:ilvl w:val="0"/>
                <w:numId w:val="2"/>
              </w:numPr>
              <w:spacing w:before="20" w:after="20"/>
            </w:pPr>
            <w:r>
              <w:rPr>
                <w:rFonts w:ascii="Arial" w:cs="Arial" w:eastAsia="Arial" w:hAnsi="Arial"/>
                <w:color w:val="404040"/>
                <w:sz w:val="20"/>
                <w:szCs w:val="20"/>
              </w:rPr>
              <w:t xml:space="preserve">Progressive fascial closure over additional re-looks</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6"/>
              <w:bottom w:val="single" w:color="C00000" w:sz="1"/>
              <w:right w:val="single" w:color="CCCCCC" w:sz="1"/>
            </w:tcBorders>
            <w:shd w:fill="FDECEA" w:val="clear"/>
            <w:tcMar>
              <w:top w:type="dxa" w:w="80"/>
              <w:left w:type="dxa" w:w="120"/>
              <w:bottom w:type="dxa" w:w="80"/>
              <w:right w:type="dxa" w:w="120"/>
            </w:tcMar>
          </w:tcPr>
          <w:p>
            <w:r>
              <w:rPr>
                <w:rFonts w:ascii="Arial" w:cs="Arial" w:eastAsia="Arial" w:hAnsi="Arial"/>
                <w:b/>
                <w:bCs/>
                <w:color w:val="C00000"/>
                <w:sz w:val="20"/>
                <w:szCs w:val="20"/>
              </w:rPr>
              <w:t xml:space="preserve">CRITICAL ERRORS — Automatic Fail if any committed</w:t>
            </w:r>
          </w:p>
          <w:p>
            <w:pPr>
              <w:spacing w:before="40"/>
            </w:pPr>
            <w:r>
              <w:rPr>
                <w:rFonts w:ascii="Arial" w:cs="Arial" w:eastAsia="Arial" w:hAnsi="Arial"/>
                <w:color w:val="C00000"/>
                <w:sz w:val="20"/>
                <w:szCs w:val="20"/>
              </w:rPr>
              <w:t xml:space="preserve">☐  Attempting fascial closure under tension when IAP was elevated — causes recurrent ACS</w:t>
            </w:r>
          </w:p>
          <w:p>
            <w:pPr>
              <w:spacing w:before="40"/>
            </w:pPr>
            <w:r>
              <w:rPr>
                <w:rFonts w:ascii="Arial" w:cs="Arial" w:eastAsia="Arial" w:hAnsi="Arial"/>
                <w:color w:val="C00000"/>
                <w:sz w:val="20"/>
                <w:szCs w:val="20"/>
              </w:rPr>
              <w:t xml:space="preserve">☐  Failing to measure bladder pressure when clinical ACS is suspected — delays diagnosis and definitive treatment</w:t>
            </w:r>
          </w:p>
          <w:p>
            <w:pPr>
              <w:spacing w:before="40"/>
            </w:pPr>
            <w:r>
              <w:rPr>
                <w:rFonts w:ascii="Arial" w:cs="Arial" w:eastAsia="Arial" w:hAnsi="Arial"/>
                <w:color w:val="C00000"/>
                <w:sz w:val="20"/>
                <w:szCs w:val="20"/>
              </w:rPr>
              <w:t xml:space="preserve">☐  Using diuresis or neuromuscular blockade as PRIMARY treatment when IAP is 28 with multi-organ failure</w:t>
            </w:r>
          </w:p>
          <w:p>
            <w:pPr>
              <w:spacing w:before="40"/>
            </w:pPr>
            <w:r>
              <w:rPr>
                <w:rFonts w:ascii="Arial" w:cs="Arial" w:eastAsia="Arial" w:hAnsi="Arial"/>
                <w:color w:val="C00000"/>
                <w:sz w:val="20"/>
                <w:szCs w:val="20"/>
              </w:rPr>
              <w:t xml:space="preserve">☐  Not performing planned re-look — leaving packs beyond 48 hours without reassessment</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6"/>
              <w:bottom w:val="single" w:color="375623"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KEY TEACHING POINTS</w:t>
            </w:r>
          </w:p>
          <w:p>
            <w:pPr>
              <w:spacing w:before="40"/>
            </w:pPr>
            <w:r>
              <w:rPr>
                <w:rFonts w:ascii="Arial" w:cs="Arial" w:eastAsia="Arial" w:hAnsi="Arial"/>
                <w:color w:val="404040"/>
                <w:sz w:val="20"/>
                <w:szCs w:val="20"/>
              </w:rPr>
              <w:t xml:space="preserve">•  ACS: IAP &gt;20 mmHg + new organ dysfunction. Bladder pressure is the standard measurement technique.</w:t>
            </w:r>
          </w:p>
          <w:p>
            <w:pPr>
              <w:spacing w:before="40"/>
            </w:pPr>
            <w:r>
              <w:rPr>
                <w:rFonts w:ascii="Arial" w:cs="Arial" w:eastAsia="Arial" w:hAnsi="Arial"/>
                <w:color w:val="404040"/>
                <w:sz w:val="20"/>
                <w:szCs w:val="20"/>
              </w:rPr>
              <w:t xml:space="preserve">•  Decompressive laparotomy is definitive — non-surgical measures are temporizing only at IAP &gt;25 with organ failure</w:t>
            </w:r>
          </w:p>
          <w:p>
            <w:pPr>
              <w:spacing w:before="40"/>
            </w:pPr>
            <w:r>
              <w:rPr>
                <w:rFonts w:ascii="Arial" w:cs="Arial" w:eastAsia="Arial" w:hAnsi="Arial"/>
                <w:color w:val="404040"/>
                <w:sz w:val="20"/>
                <w:szCs w:val="20"/>
              </w:rPr>
              <w:t xml:space="preserve">•  Open abdomen: goal fascial closure within 5-7 days with vacuum-assisted wound closure and progressive closure techniques</w:t>
            </w:r>
          </w:p>
          <w:p>
            <w:pPr>
              <w:spacing w:before="40"/>
            </w:pPr>
            <w:r>
              <w:rPr>
                <w:rFonts w:ascii="Arial" w:cs="Arial" w:eastAsia="Arial" w:hAnsi="Arial"/>
                <w:color w:val="404040"/>
                <w:sz w:val="20"/>
                <w:szCs w:val="20"/>
              </w:rPr>
              <w:t xml:space="preserve">•  Prevention: damage control laparotomy (leave abdomen open) in patients with massive resuscitation, contamination, or ACS risk</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9"/>
                <w:szCs w:val="19"/>
              </w:rPr>
              <w:t xml:space="preserve">EVIDENCE BASE &amp; REFERENCES</w:t>
            </w:r>
          </w:p>
          <w:p>
            <w:pPr>
              <w:spacing w:before="30"/>
            </w:pPr>
            <w:r>
              <w:rPr>
                <w:rFonts w:ascii="Arial" w:cs="Arial" w:eastAsia="Arial" w:hAnsi="Arial"/>
                <w:i/>
                <w:iCs/>
                <w:color w:val="595959"/>
                <w:sz w:val="18"/>
                <w:szCs w:val="18"/>
              </w:rPr>
              <w:t xml:space="preserve">Kirkpatrick AW et al. Intra-abdominal hypertension and ACS: updated consensus definitions. Intensive Care Med 2013</w:t>
            </w:r>
          </w:p>
          <w:p>
            <w:pPr>
              <w:spacing w:before="30"/>
            </w:pPr>
            <w:r>
              <w:rPr>
                <w:rFonts w:ascii="Arial" w:cs="Arial" w:eastAsia="Arial" w:hAnsi="Arial"/>
                <w:i/>
                <w:iCs/>
                <w:color w:val="595959"/>
                <w:sz w:val="18"/>
                <w:szCs w:val="18"/>
              </w:rPr>
              <w:t xml:space="preserve">WSACS (World Society ACS) guidelines. Crit Care Med 2013</w:t>
            </w:r>
          </w:p>
          <w:p>
            <w:pPr>
              <w:spacing w:before="30"/>
            </w:pPr>
            <w:r>
              <w:rPr>
                <w:rFonts w:ascii="Arial" w:cs="Arial" w:eastAsia="Arial" w:hAnsi="Arial"/>
                <w:i/>
                <w:iCs/>
                <w:color w:val="595959"/>
                <w:sz w:val="18"/>
                <w:szCs w:val="18"/>
              </w:rPr>
              <w:t xml:space="preserve">Roberts DJ et al. Management of open abdominal wounds. J Trauma Acute Care Surg 2012</w:t>
            </w:r>
          </w:p>
        </w:tc>
      </w:tr>
    </w:tbl>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ECU Department of Surgery  |  For examiner use only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0"/>
      <w:gridCol w:w="2800"/>
    </w:tblGrid>
    <w:tr>
      <w:tc>
        <w:tcPr>
          <w:tcW w:type="dxa" w:w="8000"/>
          <w:tcBorders>
            <w:top w:val="none" w:color="FFFFFF" w:sz="0"/>
            <w:left w:val="none" w:color="FFFFFF" w:sz="0"/>
            <w:bottom w:val="none" w:color="FFFFFF" w:sz="0"/>
            <w:right w:val="none" w:color="FFFFFF" w:sz="0"/>
          </w:tcBorders>
        </w:tcPr>
        <w:p>
          <w:r>
            <w:rPr>
              <w:rFonts w:ascii="Arial" w:cs="Arial" w:eastAsia="Arial" w:hAnsi="Arial"/>
              <w:color w:val="595959"/>
              <w:sz w:val="16"/>
              <w:szCs w:val="16"/>
            </w:rPr>
            <w:t xml:space="preserve">ECU General Surgery — Mock Oral Board Examiner Guide</w:t>
          </w:r>
          <w:r>
            <w:rPr>
              <w:rFonts w:ascii="Arial" w:cs="Arial" w:eastAsia="Arial" w:hAnsi="Arial"/>
              <w:b/>
              <w:bCs/>
              <w:color w:val="1F3864"/>
              <w:sz w:val="16"/>
              <w:szCs w:val="16"/>
            </w:rPr>
            <w:t xml:space="preserve">  |  Abdominal Compartment Syndrome</w:t>
          </w:r>
        </w:p>
      </w:tc>
      <w:tc>
        <w:tcPr>
          <w:tcW w:type="dxa" w:w="2800"/>
          <w:tcBorders>
            <w:top w:val="none" w:color="FFFFFF" w:sz="0"/>
            <w:left w:val="none" w:color="FFFFFF" w:sz="0"/>
            <w:bottom w:val="none" w:color="FFFFFF" w:sz="0"/>
            <w:right w:val="none" w:color="FFFFFF" w:sz="0"/>
          </w:tcBorders>
        </w:tcPr>
        <w:p>
          <w:pPr>
            <w:jc w:val="right"/>
          </w:pPr>
          <w:r>
            <w:rPr>
              <w:rFonts w:ascii="Arial" w:cs="Arial" w:eastAsia="Arial" w:hAnsi="Arial"/>
              <w:color w:val="595959"/>
              <w:sz w:val="16"/>
              <w:szCs w:val="16"/>
            </w:rPr>
            <w:t xml:space="preserve">Core — Critical Care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2026-03-21T21:12:13.141Z</dcterms:created>
  <dcterms:modified xsi:type="dcterms:W3CDTF">2026-03-21T21:12:13.141Z</dcterms:modified>
</cp:coreProperties>
</file>

<file path=docProps/custom.xml><?xml version="1.0" encoding="utf-8"?>
<Properties xmlns="http://schemas.openxmlformats.org/officeDocument/2006/custom-properties" xmlns:vt="http://schemas.openxmlformats.org/officeDocument/2006/docPropsVTypes"/>
</file>