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1560"/>
        <w:gridCol w:w="1560"/>
        <w:gridCol w:w="1560"/>
      </w:tblGrid>
      <w:tr>
        <w:tc>
          <w:tcPr>
            <w:tcW w:type="dxa" w:w="468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Complex Abdominal Wall Reconstruction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SCORE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Core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LEVEL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PGY 4–5</w:t>
            </w:r>
          </w:p>
        </w:tc>
        <w:tc>
          <w:tcPr>
            <w:tcW w:type="dxa" w:w="15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2E75B6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D6E4F0"/>
                <w:sz w:val="15"/>
                <w:szCs w:val="15"/>
              </w:rPr>
              <w:t xml:space="preserve">DOMAIN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5"/>
                <w:szCs w:val="15"/>
              </w:rPr>
              <w:t xml:space="preserve">Hernia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PATIENT STEM — Read aloud to candidate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2"/>
              <w:bottom w:val="single" w:color="2E75B6" w:sz="1"/>
              <w:right w:val="single" w:color="CCCCCC" w:sz="1"/>
            </w:tcBorders>
            <w:shd w:fill="D6E4F0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56-year-old obese male (BMI 41) presents with a large midline hernia (12×10 cm defect, CT-confirmed) and a chronic draining sinus with purulent discharge following a sigmoidectomy complicated by MRSA wound infection 3 years ago.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95959" w:sz="1"/>
              <w:left w:val="single" w:color="595959" w:sz="1"/>
              <w:bottom w:val="single" w:color="595959" w:sz="1"/>
              <w:right w:val="single" w:color="595959" w:sz="1"/>
            </w:tcBorders>
            <w:shd w:fill="595959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EXAMINER INSTRUCTIONS</w:t>
            </w:r>
          </w:p>
        </w:tc>
      </w:tr>
    </w:tbl>
    <w:p>
      <w:pPr>
        <w:spacing w:before="40" w:after="80"/>
      </w:pPr>
      <w:r>
        <w:rPr>
          <w:rFonts w:ascii="Arial" w:cs="Arial" w:eastAsia="Arial" w:hAnsi="Arial"/>
          <w:i/>
          <w:iCs/>
          <w:color w:val="404040"/>
          <w:sz w:val="20"/>
          <w:szCs w:val="20"/>
        </w:rPr>
        <w:t xml:space="preserve">Staged approach is mandatory. Infection control first, reconstruction after clean wound. Never place synthetic mesh in an active infection. Test component separation technique and mesh selection.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3864" w:sz="1"/>
              <w:left w:val="single" w:color="1F3864" w:sz="1"/>
              <w:bottom w:val="single" w:color="1F3864" w:sz="1"/>
              <w:right w:val="single" w:color="1F3864" w:sz="1"/>
            </w:tcBorders>
            <w:shd w:fill="1F3864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CLINICAL QUESTIONS &amp; EXPECTED RESPONSES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Q1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are your immediate priorities?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Wound culture from sinus tract — identify organisms (expect MRSA)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CT: characterize defect, identify all mesh material, map sinus tract extent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Nutritional assessment: albumin, prealbumin, HbA1c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Optimize BMI 41: weight loss goal before reconstruction (BMI &lt;35 improves outcomes)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IV antibiotics targeted to culture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Q2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is your surgical plan and sequencing?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STAGED APPROACH — never single-stage with active infection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1: Complete mesh explantation + sinus excision + wound debridement + NPWT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Remove ALL infected mesh — partial explantation perpetuates infection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Leave wound open; wound VAC at -75 to -125 mmHg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Stage 2: Definitive reconstruction 3–6 months later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After wound is clean, nutritional optimization complete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Component separation if needed; appropriate mesh for contamination class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7F6000"/>
                <w:sz w:val="18"/>
                <w:szCs w:val="18"/>
              </w:rPr>
              <w:t xml:space="preserve">!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2C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7F6000"/>
                <w:sz w:val="19"/>
                <w:szCs w:val="19"/>
              </w:rPr>
              <w:t xml:space="preserve">Examiner note: </w:t>
            </w:r>
            <w:r>
              <w:rPr>
                <w:rFonts w:ascii="Arial" w:cs="Arial" w:eastAsia="Arial" w:hAnsi="Arial"/>
                <w:i/>
                <w:iCs/>
                <w:color w:val="404040"/>
                <w:sz w:val="19"/>
                <w:szCs w:val="19"/>
              </w:rPr>
              <w:t xml:space="preserve">Permanent synthetic mesh in a Class III/IV contaminated wound will always fail and require re-explantation. Complete mesh removal is not negotiable.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Q3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Describe anterior component separation (Ramirez procedure).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Indication: large central defect requiring additional medialization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Anatomy: external oblique aponeurosis release allows medialization of rectus myofascial unit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Technique: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Elevate skin flap off anterior rectus sheath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Identify linea semilunaris (lateral edge of rectus sheath)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Incise external oblique aponeurosis 1–2 cm LATERAL to semilunaris — from costal margin to inguinal ligament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Bluntly separate external oblique from internal oblique (avascular plane)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Mobilization gains: 6–8 cm per side (12–16 cm total)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Close midline with running permanent suture; reinforce with retromuscular mesh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Perforator-sparing (endoscopic) variant: limits skin flap size, preserves perforators, reduces wound complications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864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Q4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21"/>
                <w:szCs w:val="21"/>
              </w:rPr>
              <w:t xml:space="preserve">What mesh do you select and why?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75623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9FD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Mesh by contamination class: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Clean (Class I): lightweight polypropylene — standard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Clean-contaminated (Class II): biologic or biosynthetic preferred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  Contaminated/Infected (Class III/IV): NO permanent synthetic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Biologic (Strattice, Alloderm): acellular dermis — handles contamination but high recurrence (20–30%)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Biosynthetic absorbable (Phasix, GORE BIO-A): better strength than biologic; absorbs over 12–18 months leaving collagen scaffold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This patient: Stage 2 after infection controlled — biosynthetic mesh is reasonable; avoids permanent synthetic in this history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EVOLUTIONS — Examiner-directed scenario pivots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1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Component separation insufficient — TAR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After bilateral anterior CS, a 4 cm gap persists under tension. What next?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Posterior component separation (TAR — transversus abdominis release)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TAR technique: divide posterior rectus sheath and transversus abdominis behind the rectus — creates retromuscular space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Rives-Stoppa retromuscular mesh placement: lowest recurrence of all hernia repair positions (~5–10%)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both CS and TAR insufficient: mesh bridge repair (higher recurrence ~20%)</w:t>
            </w:r>
          </w:p>
        </w:tc>
      </w:tr>
      <w:tr>
        <w:tc>
          <w:tcPr>
            <w:tcW w:type="dxa" w:w="9360"/>
            <w:gridSpan w:val="2"/>
            <w:tcBorders>
              <w:top w:val="single" w:color="C55A11" w:sz="1"/>
              <w:left w:val="single" w:color="C55A11" w:sz="16"/>
              <w:bottom w:val="single" w:color="C55A11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55A11"/>
                <w:sz w:val="20"/>
                <w:szCs w:val="20"/>
              </w:rPr>
              <w:t xml:space="preserve">EVOLUTION 2  </w:t>
            </w:r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Seroma post-repair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i/>
                <w:iCs/>
                <w:color w:val="404040"/>
                <w:sz w:val="20"/>
                <w:szCs w:val="20"/>
              </w:rPr>
              <w:t xml:space="preserve">POD 10: fluctuant, non-tender, transilluminating collection under skin flap. No fever.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55A11"/>
                <w:sz w:val="18"/>
                <w:szCs w:val="18"/>
              </w:rPr>
              <w:t xml:space="preserve">►</w:t>
            </w:r>
          </w:p>
        </w:tc>
        <w:tc>
          <w:tcPr>
            <w:tcW w:type="dxa" w:w="8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AF5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Seroma — most common complication (30–50%) after complex AWR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Management: percutaneous aspiration × 2–4 sessions under sterile technique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If recurrent: sclerotherapy (doxycycline injection) or operative quilting sutures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20" w:after="2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Prevention: intraoperative quilting sutures, closed-suction drain in dead space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0000" w:sz="1"/>
              <w:left w:val="single" w:color="C00000" w:sz="16"/>
              <w:bottom w:val="single" w:color="C00000" w:sz="1"/>
              <w:right w:val="single" w:color="CCCCCC" w:sz="1"/>
            </w:tcBorders>
            <w:shd w:fill="FDECE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CRITICAL ERRORS — Automatic Fail if any committed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Placing permanent synthetic mesh in active infection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Attempting single-stage repair without controlling infection first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Incomplete mesh explantation from infected field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C00000"/>
                <w:sz w:val="20"/>
                <w:szCs w:val="20"/>
              </w:rPr>
              <w:t xml:space="preserve">☐  Not obtaining cultures to guide targeted antibiotic therapy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375623" w:sz="1"/>
              <w:left w:val="single" w:color="375623" w:sz="16"/>
              <w:bottom w:val="single" w:color="375623" w:sz="1"/>
              <w:right w:val="single" w:color="CCCCCC" w:sz="1"/>
            </w:tcBorders>
            <w:shd w:fill="E2EFD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75623"/>
                <w:sz w:val="20"/>
                <w:szCs w:val="20"/>
              </w:rPr>
              <w:t xml:space="preserve">KEY TEACHING POINTS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Staged approach: complete mesh explantation + NPWT first; reconstruction 3–6 months later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Anterior CS (Ramirez): external oblique release lateral to semilunaris → 6–8 cm medialization per side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Biologic/biosynthetic for Class III–IV contaminated; synthetic only in clean fields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color w:val="404040"/>
                <w:sz w:val="20"/>
                <w:szCs w:val="20"/>
              </w:rPr>
              <w:t xml:space="preserve">•  Rives-Stoppa retromuscular position: lowest recurrence rate for all complex ventral hernias</w:t>
            </w:r>
          </w:p>
        </w:tc>
      </w:tr>
    </w:tbl>
    <w:p>
      <w:pPr>
        <w:spacing w:before="0" w:after="5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595959"/>
                <w:sz w:val="19"/>
                <w:szCs w:val="19"/>
              </w:rPr>
              <w:t xml:space="preserve">EVIDENCE BASE &amp; REFERENCES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Ramirez OM et al. Components separation method. Plast Reconstr Surg 1990;86:519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Ventral Hernia Working Group. Mesh selection for contaminated fields. Hernia 2010</w:t>
            </w:r>
          </w:p>
          <w:p>
            <w:pPr>
              <w:spacing w:before="30"/>
            </w:pPr>
            <w:r>
              <w:rPr>
                <w:rFonts w:ascii="Arial" w:cs="Arial" w:eastAsia="Arial" w:hAnsi="Arial"/>
                <w:i/>
                <w:iCs/>
                <w:color w:val="595959"/>
                <w:sz w:val="18"/>
                <w:szCs w:val="18"/>
              </w:rPr>
              <w:t xml:space="preserve">Breuing K et al. Incisional ventral hernias: review and recommendations. Surgery 2010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95959"/>
        <w:sz w:val="16"/>
        <w:szCs w:val="16"/>
      </w:rPr>
      <w:t xml:space="preserve">ECU Department of Surgery  |  For examiner use only  |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800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8000"/>
      <w:gridCol w:w="2800"/>
    </w:tblGrid>
    <w:tr>
      <w:tc>
        <w:tcPr>
          <w:tcW w:type="dxa" w:w="80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ECU General Surgery — Mock Oral Board Examiner Guide</w:t>
          </w:r>
          <w:r>
            <w:rPr>
              <w:rFonts w:ascii="Arial" w:cs="Arial" w:eastAsia="Arial" w:hAnsi="Arial"/>
              <w:b/>
              <w:bCs/>
              <w:color w:val="1F3864"/>
              <w:sz w:val="16"/>
              <w:szCs w:val="16"/>
            </w:rPr>
            <w:t xml:space="preserve">  |  Complex Abdominal Wall Reconstruction</w:t>
          </w:r>
        </w:p>
      </w:tc>
      <w:tc>
        <w:tcPr>
          <w:tcW w:type="dxa" w:w="2800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</w:tcPr>
        <w:p>
          <w:pPr>
            <w:jc w:val="right"/>
          </w:pPr>
          <w:r>
            <w:rPr>
              <w:rFonts w:ascii="Arial" w:cs="Arial" w:eastAsia="Arial" w:hAnsi="Arial"/>
              <w:color w:val="595959"/>
              <w:sz w:val="16"/>
              <w:szCs w:val="16"/>
            </w:rPr>
            <w:t xml:space="preserve">Core — Hernia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2026-03-21T21:36:06.431Z</dcterms:created>
  <dcterms:modified xsi:type="dcterms:W3CDTF">2026-03-21T21:36:06.432Z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