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Enterocutaneous Fistula</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SCORE</w:t>
            </w:r>
          </w:p>
          <w:p>
            <w:pPr>
              <w:jc w:val="center"/>
            </w:pPr>
            <w:r>
              <w:rPr>
                <w:rFonts w:ascii="Arial" w:cs="Arial" w:eastAsia="Arial" w:hAnsi="Arial"/>
                <w:b/>
                <w:bCs/>
                <w:color w:val="FFFFFF"/>
                <w:sz w:val="18"/>
                <w:szCs w:val="18"/>
              </w:rPr>
              <w:t xml:space="preserve">Core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LEVEL</w:t>
            </w:r>
          </w:p>
          <w:p>
            <w:pPr>
              <w:jc w:val="center"/>
            </w:pPr>
            <w:r>
              <w:rPr>
                <w:rFonts w:ascii="Arial" w:cs="Arial" w:eastAsia="Arial" w:hAnsi="Arial"/>
                <w:b/>
                <w:bCs/>
                <w:color w:val="FFFFFF"/>
                <w:sz w:val="18"/>
                <w:szCs w:val="18"/>
              </w:rPr>
              <w:t xml:space="preserve">PGY 4–5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DOMAIN</w:t>
            </w:r>
          </w:p>
          <w:p>
            <w:pPr>
              <w:jc w:val="center"/>
            </w:pPr>
            <w:r>
              <w:rPr>
                <w:rFonts w:ascii="Arial" w:cs="Arial" w:eastAsia="Arial" w:hAnsi="Arial"/>
                <w:b/>
                <w:bCs/>
                <w:color w:val="FFFFFF"/>
                <w:sz w:val="15"/>
                <w:szCs w:val="15"/>
              </w:rPr>
              <w:t xml:space="preserve">GI/Alimentary</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color w:val="404040"/>
                <w:sz w:val="22"/>
                <w:szCs w:val="22"/>
              </w:rPr>
              <w:t xml:space="preserve">A 52-year-old male is referred 6 weeks after open sigmoid colectomy complicated by anastomotic leak. His lower midline wound drains 500 mL of cloudy green fluid per day. He has lost 18 lbs since surgery. Albumin 2.1.</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The SNAP framework drives management: Sepsis → Nutrition → Anatomy → Procedure. Do not skip steps. No operation before nutritional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How do you classify this fistula and what factors predict it will NOT close spontaneously?</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Output: High output (&gt;500 mL/day) — rarely closes spontaneously</w:t>
            </w:r>
          </w:p>
          <w:p>
            <w:pPr>
              <w:pStyle w:val="ListParagraph"/>
              <w:numPr>
                <w:ilvl w:val="0"/>
                <w:numId w:val="2"/>
              </w:numPr>
              <w:spacing w:before="20" w:after="20"/>
            </w:pPr>
            <w:r>
              <w:rPr>
                <w:rFonts w:ascii="Arial" w:cs="Arial" w:eastAsia="Arial" w:hAnsi="Arial"/>
                <w:color w:val="404040"/>
                <w:sz w:val="20"/>
                <w:szCs w:val="20"/>
              </w:rPr>
              <w:t xml:space="preserve">FRIENDS mnemonic for non-closure: Foreign body (mesh, drain), Radiation, Inflammation/IBD, Epithelialization of tract, Neoplasm at origin, Distal obstruction (most important), Short tract/Steroids</w:t>
            </w:r>
          </w:p>
          <w:p>
            <w:pPr>
              <w:pStyle w:val="ListParagraph"/>
              <w:numPr>
                <w:ilvl w:val="0"/>
                <w:numId w:val="2"/>
              </w:numPr>
              <w:spacing w:before="20" w:after="20"/>
            </w:pPr>
            <w:r>
              <w:rPr>
                <w:rFonts w:ascii="Arial" w:cs="Arial" w:eastAsia="Arial" w:hAnsi="Arial"/>
                <w:color w:val="404040"/>
                <w:sz w:val="20"/>
                <w:szCs w:val="20"/>
              </w:rPr>
              <w:t xml:space="preserve">This case: anastomotic leak source with likely distal narrowing — probably will require surgery</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Describe your systematic management approach.</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SNAP framework:</w:t>
            </w:r>
          </w:p>
          <w:p>
            <w:pPr>
              <w:pStyle w:val="ListParagraph"/>
              <w:numPr>
                <w:ilvl w:val="0"/>
                <w:numId w:val="2"/>
              </w:numPr>
              <w:spacing w:before="20" w:after="20"/>
            </w:pPr>
            <w:r>
              <w:rPr>
                <w:rFonts w:ascii="Arial" w:cs="Arial" w:eastAsia="Arial" w:hAnsi="Arial"/>
                <w:color w:val="404040"/>
                <w:sz w:val="20"/>
                <w:szCs w:val="20"/>
              </w:rPr>
              <w:t xml:space="preserve">  S — Sepsis control: CT scan, IR drainage of any undrained collections, targeted antibiotics, wound care</w:t>
            </w:r>
          </w:p>
          <w:p>
            <w:pPr>
              <w:pStyle w:val="ListParagraph"/>
              <w:numPr>
                <w:ilvl w:val="0"/>
                <w:numId w:val="2"/>
              </w:numPr>
              <w:spacing w:before="20" w:after="20"/>
            </w:pPr>
            <w:r>
              <w:rPr>
                <w:rFonts w:ascii="Arial" w:cs="Arial" w:eastAsia="Arial" w:hAnsi="Arial"/>
                <w:color w:val="404040"/>
                <w:sz w:val="20"/>
                <w:szCs w:val="20"/>
              </w:rPr>
              <w:t xml:space="preserve">  N — Nutrition: critical — albumin 2.1 is dangerous; TPN for high-output ECF; goal albumin &gt;3.0 before any elective surgery; enteral nutrition preferred if tolerated</w:t>
            </w:r>
          </w:p>
          <w:p>
            <w:pPr>
              <w:pStyle w:val="ListParagraph"/>
              <w:numPr>
                <w:ilvl w:val="0"/>
                <w:numId w:val="2"/>
              </w:numPr>
              <w:spacing w:before="20" w:after="20"/>
            </w:pPr>
            <w:r>
              <w:rPr>
                <w:rFonts w:ascii="Arial" w:cs="Arial" w:eastAsia="Arial" w:hAnsi="Arial"/>
                <w:color w:val="404040"/>
                <w:sz w:val="20"/>
                <w:szCs w:val="20"/>
              </w:rPr>
              <w:t xml:space="preserve">  A — Anatomy: fistulogram (Gastrografin through tract) AND CT with oral/IV contrast — identify origin, tract, distal obstruction</w:t>
            </w:r>
          </w:p>
          <w:p>
            <w:pPr>
              <w:pStyle w:val="ListParagraph"/>
              <w:numPr>
                <w:ilvl w:val="0"/>
                <w:numId w:val="2"/>
              </w:numPr>
              <w:spacing w:before="20" w:after="20"/>
            </w:pPr>
            <w:r>
              <w:rPr>
                <w:rFonts w:ascii="Arial" w:cs="Arial" w:eastAsia="Arial" w:hAnsi="Arial"/>
                <w:color w:val="404040"/>
                <w:sz w:val="20"/>
                <w:szCs w:val="20"/>
              </w:rPr>
              <w:t xml:space="preserve">  P — Procedure: operative repair after 6–8 weeks of optimization; earlier if sepsis uncontrolled or anatomy precludes closure</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Albumin 2.1 = patient cannot survive major abdominal re-exploration. Nutritional optimization is non-negotiable before elective surgery.</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CT/fistulogram confirm the fistula arises from the anastomotic site with a 2 cm distal colonic narrowing. After 8 weeks, albumin is 3.2. What operation do you perform?</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Distal obstruction confirmed = surgical correction required</w:t>
            </w:r>
          </w:p>
          <w:p>
            <w:pPr>
              <w:pStyle w:val="ListParagraph"/>
              <w:numPr>
                <w:ilvl w:val="0"/>
                <w:numId w:val="2"/>
              </w:numPr>
              <w:spacing w:before="20" w:after="20"/>
            </w:pPr>
            <w:r>
              <w:rPr>
                <w:rFonts w:ascii="Arial" w:cs="Arial" w:eastAsia="Arial" w:hAnsi="Arial"/>
                <w:color w:val="404040"/>
                <w:sz w:val="20"/>
                <w:szCs w:val="20"/>
              </w:rPr>
              <w:t xml:space="preserve">Operative plan: segmental resection of involved bowel + fistula takedown</w:t>
            </w:r>
          </w:p>
          <w:p>
            <w:pPr>
              <w:pStyle w:val="ListParagraph"/>
              <w:numPr>
                <w:ilvl w:val="0"/>
                <w:numId w:val="2"/>
              </w:numPr>
              <w:spacing w:before="20" w:after="20"/>
            </w:pPr>
            <w:r>
              <w:rPr>
                <w:rFonts w:ascii="Arial" w:cs="Arial" w:eastAsia="Arial" w:hAnsi="Arial"/>
                <w:color w:val="404040"/>
                <w:sz w:val="20"/>
                <w:szCs w:val="20"/>
              </w:rPr>
              <w:t xml:space="preserve">  If tissue quality good and no contamination: resection + primary anastomosis</w:t>
            </w:r>
          </w:p>
          <w:p>
            <w:pPr>
              <w:pStyle w:val="ListParagraph"/>
              <w:numPr>
                <w:ilvl w:val="0"/>
                <w:numId w:val="2"/>
              </w:numPr>
              <w:spacing w:before="20" w:after="20"/>
            </w:pPr>
            <w:r>
              <w:rPr>
                <w:rFonts w:ascii="Arial" w:cs="Arial" w:eastAsia="Arial" w:hAnsi="Arial"/>
                <w:color w:val="404040"/>
                <w:sz w:val="20"/>
                <w:szCs w:val="20"/>
              </w:rPr>
              <w:t xml:space="preserve">  If field is contaminated, edematous, or patient is compromised: Hartmann procedure (resection + end colostomy)</w:t>
            </w:r>
          </w:p>
          <w:p>
            <w:pPr>
              <w:pStyle w:val="ListParagraph"/>
              <w:numPr>
                <w:ilvl w:val="0"/>
                <w:numId w:val="2"/>
              </w:numPr>
              <w:spacing w:before="20" w:after="20"/>
            </w:pPr>
            <w:r>
              <w:rPr>
                <w:rFonts w:ascii="Arial" w:cs="Arial" w:eastAsia="Arial" w:hAnsi="Arial"/>
                <w:color w:val="404040"/>
                <w:sz w:val="20"/>
                <w:szCs w:val="20"/>
              </w:rPr>
              <w:t xml:space="preserve">'Friendly belly' principle: wait 3–6 months after last surgery — frozen abdomen from dense adhesions increases risk of inadvertent enterotomies</w:t>
            </w:r>
          </w:p>
          <w:p>
            <w:pPr>
              <w:pStyle w:val="ListParagraph"/>
              <w:numPr>
                <w:ilvl w:val="0"/>
                <w:numId w:val="2"/>
              </w:numPr>
              <w:spacing w:before="20" w:after="20"/>
            </w:pPr>
            <w:r>
              <w:rPr>
                <w:rFonts w:ascii="Arial" w:cs="Arial" w:eastAsia="Arial" w:hAnsi="Arial"/>
                <w:color w:val="404040"/>
                <w:sz w:val="20"/>
                <w:szCs w:val="20"/>
              </w:rPr>
              <w:t xml:space="preserve">Pre-op: bowel prep, nutritional optimization, antibiotics</w:t>
            </w:r>
          </w:p>
          <w:p>
            <w:pPr>
              <w:pStyle w:val="ListParagraph"/>
              <w:numPr>
                <w:ilvl w:val="0"/>
                <w:numId w:val="2"/>
              </w:numPr>
              <w:spacing w:before="20" w:after="20"/>
            </w:pPr>
            <w:r>
              <w:rPr>
                <w:rFonts w:ascii="Arial" w:cs="Arial" w:eastAsia="Arial" w:hAnsi="Arial"/>
                <w:color w:val="404040"/>
                <w:sz w:val="20"/>
                <w:szCs w:val="20"/>
              </w:rPr>
              <w:t xml:space="preserve">Avoid reoperation before 3 months if elective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Very high output and electrolytes</w:t>
            </w:r>
          </w:p>
          <w:p>
            <w:pPr>
              <w:spacing w:before="40"/>
            </w:pPr>
            <w:r>
              <w:rPr>
                <w:rFonts w:ascii="Arial" w:cs="Arial" w:eastAsia="Arial" w:hAnsi="Arial"/>
                <w:i/>
                <w:iCs/>
                <w:color w:val="404040"/>
                <w:sz w:val="20"/>
                <w:szCs w:val="20"/>
              </w:rPr>
              <w:t xml:space="preserve">Output surges to 1,200 mL/day. Sodium drops to 129, potassium 3.0. How do you manage?</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Replace losses 1:1 with IV fluids matched to output composition</w:t>
            </w:r>
          </w:p>
          <w:p>
            <w:pPr>
              <w:pStyle w:val="ListParagraph"/>
              <w:numPr>
                <w:ilvl w:val="0"/>
                <w:numId w:val="2"/>
              </w:numPr>
              <w:spacing w:before="20" w:after="20"/>
            </w:pPr>
            <w:r>
              <w:rPr>
                <w:rFonts w:ascii="Arial" w:cs="Arial" w:eastAsia="Arial" w:hAnsi="Arial"/>
                <w:color w:val="404040"/>
                <w:sz w:val="20"/>
                <w:szCs w:val="20"/>
              </w:rPr>
              <w:t xml:space="preserve">Daily electrolyte monitoring and replacement</w:t>
            </w:r>
          </w:p>
          <w:p>
            <w:pPr>
              <w:pStyle w:val="ListParagraph"/>
              <w:numPr>
                <w:ilvl w:val="0"/>
                <w:numId w:val="2"/>
              </w:numPr>
              <w:spacing w:before="20" w:after="20"/>
            </w:pPr>
            <w:r>
              <w:rPr>
                <w:rFonts w:ascii="Arial" w:cs="Arial" w:eastAsia="Arial" w:hAnsi="Arial"/>
                <w:color w:val="404040"/>
                <w:sz w:val="20"/>
                <w:szCs w:val="20"/>
              </w:rPr>
              <w:t xml:space="preserve">TPN: full caloric and protein support</w:t>
            </w:r>
          </w:p>
          <w:p>
            <w:pPr>
              <w:pStyle w:val="ListParagraph"/>
              <w:numPr>
                <w:ilvl w:val="0"/>
                <w:numId w:val="2"/>
              </w:numPr>
              <w:spacing w:before="20" w:after="20"/>
            </w:pPr>
            <w:r>
              <w:rPr>
                <w:rFonts w:ascii="Arial" w:cs="Arial" w:eastAsia="Arial" w:hAnsi="Arial"/>
                <w:color w:val="404040"/>
                <w:sz w:val="20"/>
                <w:szCs w:val="20"/>
              </w:rPr>
              <w:t xml:space="preserve">Octreotide: 100–200 mcg SQ TID or continuous infusion — reduces output by 30–50%</w:t>
            </w:r>
          </w:p>
          <w:p>
            <w:pPr>
              <w:pStyle w:val="ListParagraph"/>
              <w:numPr>
                <w:ilvl w:val="0"/>
                <w:numId w:val="2"/>
              </w:numPr>
              <w:spacing w:before="20" w:after="20"/>
            </w:pPr>
            <w:r>
              <w:rPr>
                <w:rFonts w:ascii="Arial" w:cs="Arial" w:eastAsia="Arial" w:hAnsi="Arial"/>
                <w:color w:val="404040"/>
                <w:sz w:val="20"/>
                <w:szCs w:val="20"/>
              </w:rPr>
              <w:t xml:space="preserve">Wound management: enterostomal therapist, peristomal barrier dressings to protect skin from digestive enzymes</w:t>
            </w:r>
          </w:p>
          <w:p>
            <w:pPr>
              <w:pStyle w:val="ListParagraph"/>
              <w:numPr>
                <w:ilvl w:val="0"/>
                <w:numId w:val="2"/>
              </w:numPr>
              <w:spacing w:before="20" w:after="20"/>
            </w:pPr>
            <w:r>
              <w:rPr>
                <w:rFonts w:ascii="Arial" w:cs="Arial" w:eastAsia="Arial" w:hAnsi="Arial"/>
                <w:color w:val="404040"/>
                <w:sz w:val="20"/>
                <w:szCs w:val="20"/>
              </w:rPr>
              <w:t xml:space="preserve">Do NOT start octreotide as a substitute for adequate nutrition</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Low-output ECF after appendectomy</w:t>
            </w:r>
          </w:p>
          <w:p>
            <w:pPr>
              <w:spacing w:before="40"/>
            </w:pPr>
            <w:r>
              <w:rPr>
                <w:rFonts w:ascii="Arial" w:cs="Arial" w:eastAsia="Arial" w:hAnsi="Arial"/>
                <w:i/>
                <w:iCs/>
                <w:color w:val="404040"/>
                <w:sz w:val="20"/>
                <w:szCs w:val="20"/>
              </w:rPr>
              <w:t xml:space="preserve">A different patient: 5-day-old low-output (120 mL/day) ECF after appendectomy, no FRIENDS factors, albumin 3.5. What is your approach?</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Low-output ECF without FRIENDS factors: good candidate for spontaneous closure</w:t>
            </w:r>
          </w:p>
          <w:p>
            <w:pPr>
              <w:pStyle w:val="ListParagraph"/>
              <w:numPr>
                <w:ilvl w:val="0"/>
                <w:numId w:val="2"/>
              </w:numPr>
              <w:spacing w:before="20" w:after="20"/>
            </w:pPr>
            <w:r>
              <w:rPr>
                <w:rFonts w:ascii="Arial" w:cs="Arial" w:eastAsia="Arial" w:hAnsi="Arial"/>
                <w:color w:val="404040"/>
                <w:sz w:val="20"/>
                <w:szCs w:val="20"/>
              </w:rPr>
              <w:t xml:space="preserve">SNAP: sepsis control, maintain enteral nutrition, delineate anatomy (fistulogram)</w:t>
            </w:r>
          </w:p>
          <w:p>
            <w:pPr>
              <w:pStyle w:val="ListParagraph"/>
              <w:numPr>
                <w:ilvl w:val="0"/>
                <w:numId w:val="2"/>
              </w:numPr>
              <w:spacing w:before="20" w:after="20"/>
            </w:pPr>
            <w:r>
              <w:rPr>
                <w:rFonts w:ascii="Arial" w:cs="Arial" w:eastAsia="Arial" w:hAnsi="Arial"/>
                <w:color w:val="404040"/>
                <w:sz w:val="20"/>
                <w:szCs w:val="20"/>
              </w:rPr>
              <w:t xml:space="preserve">60–75% of selected ECFs close spontaneously within 4–6 weeks</w:t>
            </w:r>
          </w:p>
          <w:p>
            <w:pPr>
              <w:pStyle w:val="ListParagraph"/>
              <w:numPr>
                <w:ilvl w:val="0"/>
                <w:numId w:val="2"/>
              </w:numPr>
              <w:spacing w:before="20" w:after="20"/>
            </w:pPr>
            <w:r>
              <w:rPr>
                <w:rFonts w:ascii="Arial" w:cs="Arial" w:eastAsia="Arial" w:hAnsi="Arial"/>
                <w:color w:val="404040"/>
                <w:sz w:val="20"/>
                <w:szCs w:val="20"/>
              </w:rPr>
              <w:t xml:space="preserve">Confirm closure with fistulogram before advancing diet</w:t>
            </w:r>
          </w:p>
          <w:p>
            <w:pPr>
              <w:pStyle w:val="ListParagraph"/>
              <w:numPr>
                <w:ilvl w:val="0"/>
                <w:numId w:val="2"/>
              </w:numPr>
              <w:spacing w:before="20" w:after="20"/>
            </w:pPr>
            <w:r>
              <w:rPr>
                <w:rFonts w:ascii="Arial" w:cs="Arial" w:eastAsia="Arial" w:hAnsi="Arial"/>
                <w:color w:val="404040"/>
                <w:sz w:val="20"/>
                <w:szCs w:val="20"/>
              </w:rPr>
              <w:t xml:space="preserve">If not closed at 8 weeks: operative intervention</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color w:val="C00000"/>
                <w:sz w:val="20"/>
                <w:szCs w:val="20"/>
              </w:rPr>
              <w:t xml:space="preserve">☐  Operating before 3 months in a hostile abdomen — risk of multiple inadvertent enterotomies</w:t>
            </w:r>
          </w:p>
          <w:p>
            <w:pPr>
              <w:spacing w:before="40"/>
            </w:pPr>
            <w:r>
              <w:rPr>
                <w:rFonts w:ascii="Arial" w:cs="Arial" w:eastAsia="Arial" w:hAnsi="Arial"/>
                <w:color w:val="C00000"/>
                <w:sz w:val="20"/>
                <w:szCs w:val="20"/>
              </w:rPr>
              <w:t xml:space="preserve">☐  Not obtaining imaging to identify distal obstruction before non-operative management</w:t>
            </w:r>
          </w:p>
          <w:p>
            <w:pPr>
              <w:spacing w:before="40"/>
            </w:pPr>
            <w:r>
              <w:rPr>
                <w:rFonts w:ascii="Arial" w:cs="Arial" w:eastAsia="Arial" w:hAnsi="Arial"/>
                <w:color w:val="C00000"/>
                <w:sz w:val="20"/>
                <w:szCs w:val="20"/>
              </w:rPr>
              <w:t xml:space="preserve">☐  Attempting elective reoperation with albumin &lt;3.0</w:t>
            </w:r>
          </w:p>
          <w:p>
            <w:pPr>
              <w:spacing w:before="40"/>
            </w:pPr>
            <w:r>
              <w:rPr>
                <w:rFonts w:ascii="Arial" w:cs="Arial" w:eastAsia="Arial" w:hAnsi="Arial"/>
                <w:color w:val="C00000"/>
                <w:sz w:val="20"/>
                <w:szCs w:val="20"/>
              </w:rPr>
              <w:t xml:space="preserve">☐  Not addressing sepsis control as the first priority</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404040"/>
                <w:sz w:val="20"/>
                <w:szCs w:val="20"/>
              </w:rPr>
              <w:t xml:space="preserve">•  SNAP: Sepsis → Nutrition → Anatomy → Procedure — always in this order</w:t>
            </w:r>
          </w:p>
          <w:p>
            <w:pPr>
              <w:spacing w:before="40"/>
            </w:pPr>
            <w:r>
              <w:rPr>
                <w:rFonts w:ascii="Arial" w:cs="Arial" w:eastAsia="Arial" w:hAnsi="Arial"/>
                <w:color w:val="404040"/>
                <w:sz w:val="20"/>
                <w:szCs w:val="20"/>
              </w:rPr>
              <w:t xml:space="preserve">•  FRIENDS: Distal obstruction is the single most important predictor of non-closure</w:t>
            </w:r>
          </w:p>
          <w:p>
            <w:pPr>
              <w:spacing w:before="40"/>
            </w:pPr>
            <w:r>
              <w:rPr>
                <w:rFonts w:ascii="Arial" w:cs="Arial" w:eastAsia="Arial" w:hAnsi="Arial"/>
                <w:color w:val="404040"/>
                <w:sz w:val="20"/>
                <w:szCs w:val="20"/>
              </w:rPr>
              <w:t xml:space="preserve">•  Nutritional optimization before surgery: albumin &gt;3.0 — malnourished patients cannot survive major re-exploration</w:t>
            </w:r>
          </w:p>
          <w:p>
            <w:pPr>
              <w:spacing w:before="40"/>
            </w:pPr>
            <w:r>
              <w:rPr>
                <w:rFonts w:ascii="Arial" w:cs="Arial" w:eastAsia="Arial" w:hAnsi="Arial"/>
                <w:color w:val="404040"/>
                <w:sz w:val="20"/>
                <w:szCs w:val="20"/>
              </w:rPr>
              <w:t xml:space="preserve">•  Octreotide reduces ECF output by 30-50% — adjunct to nutrition, not a substitute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Evenson AR, Fischer JE. Current management of enterocutaneous fistula. J Gastrointest Surg 2006</w:t>
            </w:r>
          </w:p>
          <w:p>
            <w:pPr>
              <w:spacing w:before="30"/>
            </w:pPr>
            <w:r>
              <w:rPr>
                <w:rFonts w:ascii="Arial" w:cs="Arial" w:eastAsia="Arial" w:hAnsi="Arial"/>
                <w:i/>
                <w:iCs/>
                <w:color w:val="595959"/>
                <w:sz w:val="18"/>
                <w:szCs w:val="18"/>
              </w:rPr>
              <w:t xml:space="preserve">Makhdoom ZA et al. Management of ECF. J Clin Gastroenterol 2000</w:t>
            </w:r>
          </w:p>
          <w:p>
            <w:pPr>
              <w:spacing w:before="30"/>
            </w:pPr>
            <w:r>
              <w:rPr>
                <w:rFonts w:ascii="Arial" w:cs="Arial" w:eastAsia="Arial" w:hAnsi="Arial"/>
                <w:i/>
                <w:iCs/>
                <w:color w:val="595959"/>
                <w:sz w:val="18"/>
                <w:szCs w:val="18"/>
              </w:rPr>
              <w:t xml:space="preserve">WSES Guidelines: Abdominal surgical complications. World J Emerg Surg 2020</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Enterocutaneous Fistula</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Core — GI/Alimentary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2026-03-21T22:08:06.934Z</dcterms:created>
  <dcterms:modified xsi:type="dcterms:W3CDTF">2026-03-21T22:08:06.935Z</dcterms:modified>
</cp:coreProperties>
</file>

<file path=docProps/custom.xml><?xml version="1.0" encoding="utf-8"?>
<Properties xmlns="http://schemas.openxmlformats.org/officeDocument/2006/custom-properties" xmlns:vt="http://schemas.openxmlformats.org/officeDocument/2006/docPropsVTypes"/>
</file>