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4"/>
                <w:szCs w:val="24"/>
              </w:rPr>
              <w:t xml:space="preserve">Gallstone Ileus</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SCORE</w:t>
            </w:r>
          </w:p>
          <w:p>
            <w:pPr>
              <w:jc w:val="center"/>
            </w:pPr>
            <w:r>
              <w:rPr>
                <w:rFonts w:ascii="Arial" w:cs="Arial" w:eastAsia="Arial" w:hAnsi="Arial"/>
                <w:b/>
                <w:bCs/>
                <w:color w:val="FFFFFF"/>
                <w:sz w:val="18"/>
                <w:szCs w:val="18"/>
              </w:rPr>
              <w:t xml:space="preserve">Core</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LEVEL</w:t>
            </w:r>
          </w:p>
          <w:p>
            <w:pPr>
              <w:jc w:val="center"/>
            </w:pPr>
            <w:r>
              <w:rPr>
                <w:rFonts w:ascii="Arial" w:cs="Arial" w:eastAsia="Arial" w:hAnsi="Arial"/>
                <w:b/>
                <w:bCs/>
                <w:color w:val="FFFFFF"/>
                <w:sz w:val="18"/>
                <w:szCs w:val="18"/>
              </w:rPr>
              <w:t xml:space="preserve">PGY 3–5</w:t>
            </w:r>
          </w:p>
        </w:tc>
        <w:tc>
          <w:tcPr>
            <w:tcW w:type="dxa" w:w="1560"/>
            <w:tcBorders>
              <w:top w:val="single" w:color="1F3864" w:sz="1"/>
              <w:left w:val="single" w:color="1F3864" w:sz="1"/>
              <w:bottom w:val="single" w:color="1F3864" w:sz="1"/>
              <w:right w:val="single" w:color="1F3864" w:sz="1"/>
            </w:tcBorders>
            <w:shd w:fill="2E75B6" w:val="clear"/>
            <w:tcMar>
              <w:top w:type="dxa" w:w="80"/>
              <w:left w:type="dxa" w:w="80"/>
              <w:bottom w:type="dxa" w:w="80"/>
              <w:right w:type="dxa" w:w="80"/>
            </w:tcMar>
          </w:tcPr>
          <w:p>
            <w:pPr>
              <w:jc w:val="center"/>
            </w:pPr>
            <w:r>
              <w:rPr>
                <w:rFonts w:ascii="Arial" w:cs="Arial" w:eastAsia="Arial" w:hAnsi="Arial"/>
                <w:color w:val="D6E4F0"/>
                <w:sz w:val="15"/>
                <w:szCs w:val="15"/>
              </w:rPr>
              <w:t xml:space="preserve">DOMAIN</w:t>
            </w:r>
          </w:p>
          <w:p>
            <w:pPr>
              <w:jc w:val="center"/>
            </w:pPr>
            <w:r>
              <w:rPr>
                <w:rFonts w:ascii="Arial" w:cs="Arial" w:eastAsia="Arial" w:hAnsi="Arial"/>
                <w:b/>
                <w:bCs/>
                <w:color w:val="FFFFFF"/>
                <w:sz w:val="15"/>
                <w:szCs w:val="15"/>
              </w:rPr>
              <w:t xml:space="preserve">GI/Hepatobiliary</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PATIENT STEM — Read aloud to candidate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CCCCCC" w:sz="1"/>
            </w:tcBorders>
            <w:shd w:fill="D6E4F0" w:val="clear"/>
            <w:tcMar>
              <w:top w:type="dxa" w:w="100"/>
              <w:left w:type="dxa" w:w="160"/>
              <w:bottom w:type="dxa" w:w="100"/>
              <w:right w:type="dxa" w:w="160"/>
            </w:tcMar>
          </w:tcPr>
          <w:p>
            <w:r>
              <w:rPr>
                <w:rFonts w:ascii="Arial" w:cs="Arial" w:eastAsia="Arial" w:hAnsi="Arial"/>
                <w:color w:val="404040"/>
                <w:sz w:val="22"/>
                <w:szCs w:val="22"/>
              </w:rPr>
              <w:t xml:space="preserve">A 78-year-old female presents with 5 days of colicky abdominal pain, nausea, and vomiting. History of cholelithiasis. Abdomen mildly distended with diffuse tenderness. WBC 11k, creatinine 1.9. CT shows SBO with transition point at the distal ileum and an ectopic gallstone at the site of obstruction with pneumobilia.</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
              <w:bottom w:val="single" w:color="595959" w:sz="1"/>
              <w:right w:val="single" w:color="595959" w:sz="1"/>
            </w:tcBorders>
            <w:shd w:fill="595959" w:val="clear"/>
            <w:tcMar>
              <w:top w:type="dxa" w:w="60"/>
              <w:left w:type="dxa" w:w="120"/>
              <w:bottom w:type="dxa" w:w="60"/>
              <w:right w:type="dxa" w:w="120"/>
            </w:tcMar>
          </w:tcPr>
          <w:p>
            <w:r>
              <w:rPr>
                <w:rFonts w:ascii="Arial" w:cs="Arial" w:eastAsia="Arial" w:hAnsi="Arial"/>
                <w:b/>
                <w:bCs/>
                <w:color w:val="FFFFFF"/>
                <w:sz w:val="20"/>
                <w:szCs w:val="20"/>
              </w:rPr>
              <w:t xml:space="preserve">EXAMINER INSTRUCTIONS</w:t>
            </w:r>
          </w:p>
        </w:tc>
      </w:tr>
    </w:tbl>
    <w:p>
      <w:pPr>
        <w:spacing w:before="40" w:after="80"/>
      </w:pPr>
      <w:r>
        <w:rPr>
          <w:rFonts w:ascii="Arial" w:cs="Arial" w:eastAsia="Arial" w:hAnsi="Arial"/>
          <w:i/>
          <w:iCs/>
          <w:color w:val="404040"/>
          <w:sz w:val="20"/>
          <w:szCs w:val="20"/>
        </w:rPr>
        <w:t xml:space="preserve">Test Rigler's triad recognition, operative approach (enterolithotomy), the critical step of examining the entire bowel, and the one-stage vs two-stage debate for cholecystectomy.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Arial" w:cs="Arial" w:eastAsia="Arial" w:hAnsi="Arial"/>
                <w:b/>
                <w:bCs/>
                <w:color w:val="FFFFFF"/>
                <w:sz w:val="20"/>
                <w:szCs w:val="20"/>
              </w:rPr>
              <w:t xml:space="preserve">CLINICAL QUESTIONS &amp; EXPECTED RESPONSES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Q1</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What is Rigler's triad and what does it signify?</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Rigler's triad (classic radiographic triad of gallstone ileus):</w:t>
            </w:r>
          </w:p>
          <w:p>
            <w:pPr>
              <w:pStyle w:val="ListParagraph"/>
              <w:numPr>
                <w:ilvl w:val="0"/>
                <w:numId w:val="2"/>
              </w:numPr>
              <w:spacing w:before="20" w:after="20"/>
            </w:pPr>
            <w:r>
              <w:rPr>
                <w:rFonts w:ascii="Arial" w:cs="Arial" w:eastAsia="Arial" w:hAnsi="Arial"/>
                <w:color w:val="404040"/>
                <w:sz w:val="20"/>
                <w:szCs w:val="20"/>
              </w:rPr>
              <w:t xml:space="preserve">  1. Small bowel obstruction</w:t>
            </w:r>
          </w:p>
          <w:p>
            <w:pPr>
              <w:pStyle w:val="ListParagraph"/>
              <w:numPr>
                <w:ilvl w:val="0"/>
                <w:numId w:val="2"/>
              </w:numPr>
              <w:spacing w:before="20" w:after="20"/>
            </w:pPr>
            <w:r>
              <w:rPr>
                <w:rFonts w:ascii="Arial" w:cs="Arial" w:eastAsia="Arial" w:hAnsi="Arial"/>
                <w:color w:val="404040"/>
                <w:sz w:val="20"/>
                <w:szCs w:val="20"/>
              </w:rPr>
              <w:t xml:space="preserve">  2. Pneumobilia (air in biliary tree from the cholecystenteric fistula)</w:t>
            </w:r>
          </w:p>
          <w:p>
            <w:pPr>
              <w:pStyle w:val="ListParagraph"/>
              <w:numPr>
                <w:ilvl w:val="0"/>
                <w:numId w:val="2"/>
              </w:numPr>
              <w:spacing w:before="20" w:after="20"/>
            </w:pPr>
            <w:r>
              <w:rPr>
                <w:rFonts w:ascii="Arial" w:cs="Arial" w:eastAsia="Arial" w:hAnsi="Arial"/>
                <w:color w:val="404040"/>
                <w:sz w:val="20"/>
                <w:szCs w:val="20"/>
              </w:rPr>
              <w:t xml:space="preserve">  3. Ectopic gallstone (usually &gt;2.5 cm, seen in distal ileum)</w:t>
            </w:r>
          </w:p>
          <w:p>
            <w:pPr>
              <w:pStyle w:val="ListParagraph"/>
              <w:numPr>
                <w:ilvl w:val="0"/>
                <w:numId w:val="2"/>
              </w:numPr>
              <w:spacing w:before="20" w:after="20"/>
            </w:pPr>
            <w:r>
              <w:rPr>
                <w:rFonts w:ascii="Arial" w:cs="Arial" w:eastAsia="Arial" w:hAnsi="Arial"/>
                <w:color w:val="404040"/>
                <w:sz w:val="20"/>
                <w:szCs w:val="20"/>
              </w:rPr>
              <w:t xml:space="preserve">All three present in only 30–40% of cases — CT is more sensitive than plain X-ray</w:t>
            </w:r>
          </w:p>
          <w:p>
            <w:pPr>
              <w:pStyle w:val="ListParagraph"/>
              <w:numPr>
                <w:ilvl w:val="0"/>
                <w:numId w:val="2"/>
              </w:numPr>
              <w:spacing w:before="20" w:after="20"/>
            </w:pPr>
            <w:r>
              <w:rPr>
                <w:rFonts w:ascii="Arial" w:cs="Arial" w:eastAsia="Arial" w:hAnsi="Arial"/>
                <w:color w:val="404040"/>
                <w:sz w:val="20"/>
                <w:szCs w:val="20"/>
              </w:rPr>
              <w:t xml:space="preserve">Mechanism: large gallstone (&gt;2.5 cm) erodes through gallbladder into duodenum or colon (cholecystenteric fistula), passes through the GI tract and obstructs at the narrowest point (terminal ileum)</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What is your management?</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Resuscitation: IV fluids, electrolyte correction (Cr 1.9 = dehydrated), antibiotics</w:t>
            </w:r>
          </w:p>
          <w:p>
            <w:pPr>
              <w:pStyle w:val="ListParagraph"/>
              <w:numPr>
                <w:ilvl w:val="0"/>
                <w:numId w:val="2"/>
              </w:numPr>
              <w:spacing w:before="20" w:after="20"/>
            </w:pPr>
            <w:r>
              <w:rPr>
                <w:rFonts w:ascii="Arial" w:cs="Arial" w:eastAsia="Arial" w:hAnsi="Arial"/>
                <w:color w:val="404040"/>
                <w:sz w:val="20"/>
                <w:szCs w:val="20"/>
              </w:rPr>
              <w:t xml:space="preserve">NGT decompression, NPO</w:t>
            </w:r>
          </w:p>
          <w:p>
            <w:pPr>
              <w:pStyle w:val="ListParagraph"/>
              <w:numPr>
                <w:ilvl w:val="0"/>
                <w:numId w:val="2"/>
              </w:numPr>
              <w:spacing w:before="20" w:after="20"/>
            </w:pPr>
            <w:r>
              <w:rPr>
                <w:rFonts w:ascii="Arial" w:cs="Arial" w:eastAsia="Arial" w:hAnsi="Arial"/>
                <w:color w:val="404040"/>
                <w:sz w:val="20"/>
                <w:szCs w:val="20"/>
              </w:rPr>
              <w:t xml:space="preserve">Operative intervention required — gallstone ileus does not resolve non-operatively</w:t>
            </w:r>
          </w:p>
          <w:p>
            <w:pPr>
              <w:pStyle w:val="ListParagraph"/>
              <w:numPr>
                <w:ilvl w:val="0"/>
                <w:numId w:val="2"/>
              </w:numPr>
              <w:spacing w:before="20" w:after="20"/>
            </w:pPr>
            <w:r>
              <w:rPr>
                <w:rFonts w:ascii="Arial" w:cs="Arial" w:eastAsia="Arial" w:hAnsi="Arial"/>
                <w:color w:val="404040"/>
                <w:sz w:val="20"/>
                <w:szCs w:val="20"/>
              </w:rPr>
              <w:t xml:space="preserve">Operative approach:</w:t>
            </w:r>
          </w:p>
          <w:p>
            <w:pPr>
              <w:pStyle w:val="ListParagraph"/>
              <w:numPr>
                <w:ilvl w:val="0"/>
                <w:numId w:val="2"/>
              </w:numPr>
              <w:spacing w:before="20" w:after="20"/>
            </w:pPr>
            <w:r>
              <w:rPr>
                <w:rFonts w:ascii="Arial" w:cs="Arial" w:eastAsia="Arial" w:hAnsi="Arial"/>
                <w:color w:val="404040"/>
                <w:sz w:val="20"/>
                <w:szCs w:val="20"/>
              </w:rPr>
              <w:t xml:space="preserve">  1. Midline incision; palpate along bowel to locate stone</w:t>
            </w:r>
          </w:p>
          <w:p>
            <w:pPr>
              <w:pStyle w:val="ListParagraph"/>
              <w:numPr>
                <w:ilvl w:val="0"/>
                <w:numId w:val="2"/>
              </w:numPr>
              <w:spacing w:before="20" w:after="20"/>
            </w:pPr>
            <w:r>
              <w:rPr>
                <w:rFonts w:ascii="Arial" w:cs="Arial" w:eastAsia="Arial" w:hAnsi="Arial"/>
                <w:color w:val="404040"/>
                <w:sz w:val="20"/>
                <w:szCs w:val="20"/>
              </w:rPr>
              <w:t xml:space="preserve">  2. Longitudinal enterotomy PROXIMAL to the stone</w:t>
            </w:r>
          </w:p>
          <w:p>
            <w:pPr>
              <w:pStyle w:val="ListParagraph"/>
              <w:numPr>
                <w:ilvl w:val="0"/>
                <w:numId w:val="2"/>
              </w:numPr>
              <w:spacing w:before="20" w:after="20"/>
            </w:pPr>
            <w:r>
              <w:rPr>
                <w:rFonts w:ascii="Arial" w:cs="Arial" w:eastAsia="Arial" w:hAnsi="Arial"/>
                <w:color w:val="404040"/>
                <w:sz w:val="20"/>
                <w:szCs w:val="20"/>
              </w:rPr>
              <w:t xml:space="preserve">  3. Milk stone gently and deliver through enterotomy</w:t>
            </w:r>
          </w:p>
          <w:p>
            <w:pPr>
              <w:pStyle w:val="ListParagraph"/>
              <w:numPr>
                <w:ilvl w:val="0"/>
                <w:numId w:val="2"/>
              </w:numPr>
              <w:spacing w:before="20" w:after="20"/>
            </w:pPr>
            <w:r>
              <w:rPr>
                <w:rFonts w:ascii="Arial" w:cs="Arial" w:eastAsia="Arial" w:hAnsi="Arial"/>
                <w:color w:val="404040"/>
                <w:sz w:val="20"/>
                <w:szCs w:val="20"/>
              </w:rPr>
              <w:t xml:space="preserve">  4. TRANSVERSE closure of enterotomy (prevents stricture)</w:t>
            </w:r>
          </w:p>
          <w:p>
            <w:pPr>
              <w:pStyle w:val="ListParagraph"/>
              <w:numPr>
                <w:ilvl w:val="0"/>
                <w:numId w:val="2"/>
              </w:numPr>
              <w:spacing w:before="20" w:after="20"/>
            </w:pPr>
            <w:r>
              <w:rPr>
                <w:rFonts w:ascii="Arial" w:cs="Arial" w:eastAsia="Arial" w:hAnsi="Arial"/>
                <w:color w:val="404040"/>
                <w:sz w:val="20"/>
                <w:szCs w:val="20"/>
              </w:rPr>
              <w:t xml:space="preserve">  5. EXAMINE ENTIRE SMALL BOWEL for additional stones — palpate from Treitz to terminal ileum — multiple stones in 3–5% of cases</w:t>
            </w:r>
          </w:p>
          <w:p>
            <w:pPr>
              <w:pStyle w:val="ListParagraph"/>
              <w:numPr>
                <w:ilvl w:val="0"/>
                <w:numId w:val="2"/>
              </w:numPr>
              <w:spacing w:before="20" w:after="20"/>
            </w:pPr>
            <w:r>
              <w:rPr>
                <w:rFonts w:ascii="Arial" w:cs="Arial" w:eastAsia="Arial" w:hAnsi="Arial"/>
                <w:color w:val="404040"/>
                <w:sz w:val="20"/>
                <w:szCs w:val="20"/>
              </w:rPr>
              <w:t xml:space="preserve">  6. Decision on cholecystectomy</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Must palpate the entire small bowel — multiple stones cause recurrent obstruction if missed. This is one of the most commonly tested points.</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Q3</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Should you perform cholecystectomy and fistula repair at the same operation?</w:t>
            </w:r>
          </w:p>
        </w:tc>
      </w:tr>
      <w:tr>
        <w:tc>
          <w:tcPr>
            <w:tcW w:type="dxa" w:w="6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w:t>
            </w:r>
          </w:p>
        </w:tc>
        <w:tc>
          <w:tcPr>
            <w:tcW w:type="dxa" w:w="8760"/>
            <w:tcBorders>
              <w:top w:val="single" w:color="CCCCCC" w:sz="1"/>
              <w:left w:val="single" w:color="CCCCCC" w:sz="1"/>
              <w:bottom w:val="single" w:color="CCCCCC" w:sz="1"/>
              <w:right w:val="single" w:color="CCCCCC" w:sz="1"/>
            </w:tcBorders>
            <w:shd w:fill="F9FD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Two approaches:</w:t>
            </w:r>
          </w:p>
          <w:p>
            <w:pPr>
              <w:pStyle w:val="ListParagraph"/>
              <w:numPr>
                <w:ilvl w:val="0"/>
                <w:numId w:val="2"/>
              </w:numPr>
              <w:spacing w:before="20" w:after="20"/>
            </w:pPr>
            <w:r>
              <w:rPr>
                <w:rFonts w:ascii="Arial" w:cs="Arial" w:eastAsia="Arial" w:hAnsi="Arial"/>
                <w:color w:val="404040"/>
                <w:sz w:val="20"/>
                <w:szCs w:val="20"/>
              </w:rPr>
              <w:t xml:space="preserve">One-stage (enterolithotomy + cholecystectomy + fistula repair):</w:t>
            </w:r>
          </w:p>
          <w:p>
            <w:pPr>
              <w:pStyle w:val="ListParagraph"/>
              <w:numPr>
                <w:ilvl w:val="0"/>
                <w:numId w:val="2"/>
              </w:numPr>
              <w:spacing w:before="20" w:after="20"/>
            </w:pPr>
            <w:r>
              <w:rPr>
                <w:rFonts w:ascii="Arial" w:cs="Arial" w:eastAsia="Arial" w:hAnsi="Arial"/>
                <w:color w:val="404040"/>
                <w:sz w:val="20"/>
                <w:szCs w:val="20"/>
              </w:rPr>
              <w:t xml:space="preserve">  Definitive — prevents cholecystitis recurrence, fistula complications</w:t>
            </w:r>
          </w:p>
          <w:p>
            <w:pPr>
              <w:pStyle w:val="ListParagraph"/>
              <w:numPr>
                <w:ilvl w:val="0"/>
                <w:numId w:val="2"/>
              </w:numPr>
              <w:spacing w:before="20" w:after="20"/>
            </w:pPr>
            <w:r>
              <w:rPr>
                <w:rFonts w:ascii="Arial" w:cs="Arial" w:eastAsia="Arial" w:hAnsi="Arial"/>
                <w:color w:val="404040"/>
                <w:sz w:val="20"/>
                <w:szCs w:val="20"/>
              </w:rPr>
              <w:t xml:space="preserve">  Appropriate when: patient is stable, anatomy favorable, surgeon experienced, no excessive RUQ inflammation</w:t>
            </w:r>
          </w:p>
          <w:p>
            <w:pPr>
              <w:pStyle w:val="ListParagraph"/>
              <w:numPr>
                <w:ilvl w:val="0"/>
                <w:numId w:val="2"/>
              </w:numPr>
              <w:spacing w:before="20" w:after="20"/>
            </w:pPr>
            <w:r>
              <w:rPr>
                <w:rFonts w:ascii="Arial" w:cs="Arial" w:eastAsia="Arial" w:hAnsi="Arial"/>
                <w:color w:val="404040"/>
                <w:sz w:val="20"/>
                <w:szCs w:val="20"/>
              </w:rPr>
              <w:t xml:space="preserve">Two-stage (enterolithotomy now, cholecystectomy later or never):</w:t>
            </w:r>
          </w:p>
          <w:p>
            <w:pPr>
              <w:pStyle w:val="ListParagraph"/>
              <w:numPr>
                <w:ilvl w:val="0"/>
                <w:numId w:val="2"/>
              </w:numPr>
              <w:spacing w:before="20" w:after="20"/>
            </w:pPr>
            <w:r>
              <w:rPr>
                <w:rFonts w:ascii="Arial" w:cs="Arial" w:eastAsia="Arial" w:hAnsi="Arial"/>
                <w:color w:val="404040"/>
                <w:sz w:val="20"/>
                <w:szCs w:val="20"/>
              </w:rPr>
              <w:t xml:space="preserve">  Safer for elderly/high-risk/frail patients</w:t>
            </w:r>
          </w:p>
          <w:p>
            <w:pPr>
              <w:pStyle w:val="ListParagraph"/>
              <w:numPr>
                <w:ilvl w:val="0"/>
                <w:numId w:val="2"/>
              </w:numPr>
              <w:spacing w:before="20" w:after="20"/>
            </w:pPr>
            <w:r>
              <w:rPr>
                <w:rFonts w:ascii="Arial" w:cs="Arial" w:eastAsia="Arial" w:hAnsi="Arial"/>
                <w:color w:val="404040"/>
                <w:sz w:val="20"/>
                <w:szCs w:val="20"/>
              </w:rPr>
              <w:t xml:space="preserve">  When RUQ inflammation is severe</w:t>
            </w:r>
          </w:p>
          <w:p>
            <w:pPr>
              <w:pStyle w:val="ListParagraph"/>
              <w:numPr>
                <w:ilvl w:val="0"/>
                <w:numId w:val="2"/>
              </w:numPr>
              <w:spacing w:before="20" w:after="20"/>
            </w:pPr>
            <w:r>
              <w:rPr>
                <w:rFonts w:ascii="Arial" w:cs="Arial" w:eastAsia="Arial" w:hAnsi="Arial"/>
                <w:color w:val="404040"/>
                <w:sz w:val="20"/>
                <w:szCs w:val="20"/>
              </w:rPr>
              <w:t xml:space="preserve">  Recurrence risk without cholecystectomy: ~5–10% in elderly (acceptable in high-risk patients)</w:t>
            </w:r>
          </w:p>
          <w:p>
            <w:pPr>
              <w:pStyle w:val="ListParagraph"/>
              <w:numPr>
                <w:ilvl w:val="0"/>
                <w:numId w:val="2"/>
              </w:numPr>
              <w:spacing w:before="20" w:after="20"/>
            </w:pPr>
            <w:r>
              <w:rPr>
                <w:rFonts w:ascii="Arial" w:cs="Arial" w:eastAsia="Arial" w:hAnsi="Arial"/>
                <w:color w:val="404040"/>
                <w:sz w:val="20"/>
                <w:szCs w:val="20"/>
              </w:rPr>
              <w:t xml:space="preserve">This 78-year-old with Cr 1.9, dehydration, likely frail: enterolithotomy and defer cholecystectomy</w:t>
            </w:r>
          </w:p>
        </w:tc>
      </w:tr>
      <w:tr>
        <w:tc>
          <w:tcPr>
            <w:tcW w:type="dxa" w:w="6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F6000"/>
                <w:sz w:val="18"/>
                <w:szCs w:val="18"/>
              </w:rPr>
              <w:t xml:space="preserve">!</w:t>
            </w:r>
          </w:p>
        </w:tc>
        <w:tc>
          <w:tcPr>
            <w:tcW w:type="dxa" w:w="87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7F6000"/>
                <w:sz w:val="19"/>
                <w:szCs w:val="19"/>
              </w:rPr>
              <w:t xml:space="preserve">Examiner note: </w:t>
            </w:r>
            <w:r>
              <w:rPr>
                <w:rFonts w:ascii="Arial" w:cs="Arial" w:eastAsia="Arial" w:hAnsi="Arial"/>
                <w:i/>
                <w:iCs/>
                <w:color w:val="404040"/>
                <w:sz w:val="19"/>
                <w:szCs w:val="19"/>
              </w:rPr>
              <w:t xml:space="preserve">Classic board question. Know both approaches and the clinical factors that drive the choice. Elderly frail patients: two-stage is safer.</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60"/>
              <w:left w:type="dxa" w:w="120"/>
              <w:bottom w:type="dxa" w:w="60"/>
              <w:right w:type="dxa" w:w="120"/>
            </w:tcMar>
          </w:tcPr>
          <w:p>
            <w:r>
              <w:rPr>
                <w:rFonts w:ascii="Arial" w:cs="Arial" w:eastAsia="Arial" w:hAnsi="Arial"/>
                <w:b/>
                <w:bCs/>
                <w:color w:val="FFFFFF"/>
                <w:sz w:val="20"/>
                <w:szCs w:val="20"/>
              </w:rPr>
              <w:t xml:space="preserve">EVOLUTIONS — Examiner-directed scenario pivots</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1  </w:t>
            </w:r>
            <w:r>
              <w:rPr>
                <w:rFonts w:ascii="Arial" w:cs="Arial" w:eastAsia="Arial" w:hAnsi="Arial"/>
                <w:b/>
                <w:bCs/>
                <w:color w:val="404040"/>
                <w:sz w:val="20"/>
                <w:szCs w:val="20"/>
              </w:rPr>
              <w:t xml:space="preserve">Bouveret's syndrome</w:t>
            </w:r>
          </w:p>
          <w:p>
            <w:pPr>
              <w:spacing w:before="40"/>
            </w:pPr>
            <w:r>
              <w:rPr>
                <w:rFonts w:ascii="Arial" w:cs="Arial" w:eastAsia="Arial" w:hAnsi="Arial"/>
                <w:i/>
                <w:iCs/>
                <w:color w:val="404040"/>
                <w:sz w:val="20"/>
                <w:szCs w:val="20"/>
              </w:rPr>
              <w:t xml:space="preserve">CT shows the gallstone is lodged in the duodenal bulb causing gastric outlet obstruction. How does management differ?</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Bouveret's syndrome: gallstone impacted in duodenum causing GOO — rare variant of gallstone ileus</w:t>
            </w:r>
          </w:p>
          <w:p>
            <w:pPr>
              <w:pStyle w:val="ListParagraph"/>
              <w:numPr>
                <w:ilvl w:val="0"/>
                <w:numId w:val="2"/>
              </w:numPr>
              <w:spacing w:before="20" w:after="20"/>
            </w:pPr>
            <w:r>
              <w:rPr>
                <w:rFonts w:ascii="Arial" w:cs="Arial" w:eastAsia="Arial" w:hAnsi="Arial"/>
                <w:color w:val="404040"/>
                <w:sz w:val="20"/>
                <w:szCs w:val="20"/>
              </w:rPr>
              <w:t xml:space="preserve">Presentation: nausea, vomiting, early satiety — GOO symptoms</w:t>
            </w:r>
          </w:p>
          <w:p>
            <w:pPr>
              <w:pStyle w:val="ListParagraph"/>
              <w:numPr>
                <w:ilvl w:val="0"/>
                <w:numId w:val="2"/>
              </w:numPr>
              <w:spacing w:before="20" w:after="20"/>
            </w:pPr>
            <w:r>
              <w:rPr>
                <w:rFonts w:ascii="Arial" w:cs="Arial" w:eastAsia="Arial" w:hAnsi="Arial"/>
                <w:color w:val="404040"/>
                <w:sz w:val="20"/>
                <w:szCs w:val="20"/>
              </w:rPr>
              <w:t xml:space="preserve">First-line: endoscopic extraction if stone is accessible and expertise is available</w:t>
            </w:r>
          </w:p>
          <w:p>
            <w:pPr>
              <w:pStyle w:val="ListParagraph"/>
              <w:numPr>
                <w:ilvl w:val="0"/>
                <w:numId w:val="2"/>
              </w:numPr>
              <w:spacing w:before="20" w:after="20"/>
            </w:pPr>
            <w:r>
              <w:rPr>
                <w:rFonts w:ascii="Arial" w:cs="Arial" w:eastAsia="Arial" w:hAnsi="Arial"/>
                <w:color w:val="404040"/>
                <w:sz w:val="20"/>
                <w:szCs w:val="20"/>
              </w:rPr>
              <w:t xml:space="preserve">If endoscopic extraction fails: operative — duodenotomy, stone extraction, close duodenotomy; Kocher maneuver for access</w:t>
            </w:r>
          </w:p>
          <w:p>
            <w:pPr>
              <w:pStyle w:val="ListParagraph"/>
              <w:numPr>
                <w:ilvl w:val="0"/>
                <w:numId w:val="2"/>
              </w:numPr>
              <w:spacing w:before="20" w:after="20"/>
            </w:pPr>
            <w:r>
              <w:rPr>
                <w:rFonts w:ascii="Arial" w:cs="Arial" w:eastAsia="Arial" w:hAnsi="Arial"/>
                <w:color w:val="404040"/>
                <w:sz w:val="20"/>
                <w:szCs w:val="20"/>
              </w:rPr>
              <w:t xml:space="preserve">Cholecystectomy and fistula repair: same two-stage approach reasoning applies</w:t>
            </w:r>
          </w:p>
        </w:tc>
      </w:tr>
      <w:tr>
        <w:tc>
          <w:tcPr>
            <w:tcW w:type="dxa" w:w="9360"/>
            <w:gridSpan w:val="2"/>
            <w:tcBorders>
              <w:top w:val="single" w:color="C55A11" w:sz="1"/>
              <w:left w:val="single" w:color="C55A11" w:sz="16"/>
              <w:bottom w:val="single" w:color="C55A11"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EVOLUTION 2  </w:t>
            </w:r>
            <w:r>
              <w:rPr>
                <w:rFonts w:ascii="Arial" w:cs="Arial" w:eastAsia="Arial" w:hAnsi="Arial"/>
                <w:b/>
                <w:bCs/>
                <w:color w:val="404040"/>
                <w:sz w:val="20"/>
                <w:szCs w:val="20"/>
              </w:rPr>
              <w:t xml:space="preserve">Multiple stones</w:t>
            </w:r>
          </w:p>
          <w:p>
            <w:pPr>
              <w:spacing w:before="40"/>
            </w:pPr>
            <w:r>
              <w:rPr>
                <w:rFonts w:ascii="Arial" w:cs="Arial" w:eastAsia="Arial" w:hAnsi="Arial"/>
                <w:i/>
                <w:iCs/>
                <w:color w:val="404040"/>
                <w:sz w:val="20"/>
                <w:szCs w:val="20"/>
              </w:rPr>
              <w:t xml:space="preserve">You perform enterolithotomy successfully. Postoperatively on day 3, patient develops recurrent SBO symptoms. What do you consider?</w:t>
            </w:r>
          </w:p>
        </w:tc>
      </w:tr>
      <w:tr>
        <w:tc>
          <w:tcPr>
            <w:tcW w:type="dxa" w:w="6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C55A11"/>
                <w:sz w:val="18"/>
                <w:szCs w:val="18"/>
              </w:rPr>
              <w:t xml:space="preserve">►</w:t>
            </w:r>
          </w:p>
        </w:tc>
        <w:tc>
          <w:tcPr>
            <w:tcW w:type="dxa" w:w="8760"/>
            <w:tcBorders>
              <w:top w:val="single" w:color="CCCCCC" w:sz="1"/>
              <w:left w:val="single" w:color="CCCCCC" w:sz="1"/>
              <w:bottom w:val="single" w:color="CCCCCC" w:sz="1"/>
              <w:right w:val="single" w:color="CCCCCC" w:sz="1"/>
            </w:tcBorders>
            <w:shd w:fill="FFFAF5" w:val="clear"/>
            <w:tcMar>
              <w:top w:type="dxa" w:w="60"/>
              <w:left w:type="dxa" w:w="120"/>
              <w:bottom w:type="dxa" w:w="60"/>
              <w:right w:type="dxa" w:w="120"/>
            </w:tcMar>
          </w:tcPr>
          <w:p>
            <w:pPr>
              <w:pStyle w:val="ListParagraph"/>
              <w:numPr>
                <w:ilvl w:val="0"/>
                <w:numId w:val="2"/>
              </w:numPr>
              <w:spacing w:before="20" w:after="20"/>
            </w:pPr>
            <w:r>
              <w:rPr>
                <w:rFonts w:ascii="Arial" w:cs="Arial" w:eastAsia="Arial" w:hAnsi="Arial"/>
                <w:color w:val="404040"/>
                <w:sz w:val="20"/>
                <w:szCs w:val="20"/>
              </w:rPr>
              <w:t xml:space="preserve">Missed second stone is the most common cause of recurrent SBO after gallstone ileus surgery</w:t>
            </w:r>
          </w:p>
          <w:p>
            <w:pPr>
              <w:pStyle w:val="ListParagraph"/>
              <w:numPr>
                <w:ilvl w:val="0"/>
                <w:numId w:val="2"/>
              </w:numPr>
              <w:spacing w:before="20" w:after="20"/>
            </w:pPr>
            <w:r>
              <w:rPr>
                <w:rFonts w:ascii="Arial" w:cs="Arial" w:eastAsia="Arial" w:hAnsi="Arial"/>
                <w:color w:val="404040"/>
                <w:sz w:val="20"/>
                <w:szCs w:val="20"/>
              </w:rPr>
              <w:t xml:space="preserve">The entire bowel should have been examined intraoperatively — this may have been missed</w:t>
            </w:r>
          </w:p>
          <w:p>
            <w:pPr>
              <w:pStyle w:val="ListParagraph"/>
              <w:numPr>
                <w:ilvl w:val="0"/>
                <w:numId w:val="2"/>
              </w:numPr>
              <w:spacing w:before="20" w:after="20"/>
            </w:pPr>
            <w:r>
              <w:rPr>
                <w:rFonts w:ascii="Arial" w:cs="Arial" w:eastAsia="Arial" w:hAnsi="Arial"/>
                <w:color w:val="404040"/>
                <w:sz w:val="20"/>
                <w:szCs w:val="20"/>
              </w:rPr>
              <w:t xml:space="preserve">CT abdomen: identify location of second stone</w:t>
            </w:r>
          </w:p>
          <w:p>
            <w:pPr>
              <w:pStyle w:val="ListParagraph"/>
              <w:numPr>
                <w:ilvl w:val="0"/>
                <w:numId w:val="2"/>
              </w:numPr>
              <w:spacing w:before="20" w:after="20"/>
            </w:pPr>
            <w:r>
              <w:rPr>
                <w:rFonts w:ascii="Arial" w:cs="Arial" w:eastAsia="Arial" w:hAnsi="Arial"/>
                <w:color w:val="404040"/>
                <w:sz w:val="20"/>
                <w:szCs w:val="20"/>
              </w:rPr>
              <w:t xml:space="preserve">Operative re-exploration: second enterolithotomy at the location of the new obstruction</w:t>
            </w:r>
          </w:p>
          <w:p>
            <w:pPr>
              <w:pStyle w:val="ListParagraph"/>
              <w:numPr>
                <w:ilvl w:val="0"/>
                <w:numId w:val="2"/>
              </w:numPr>
              <w:spacing w:before="20" w:after="20"/>
            </w:pPr>
            <w:r>
              <w:rPr>
                <w:rFonts w:ascii="Arial" w:cs="Arial" w:eastAsia="Arial" w:hAnsi="Arial"/>
                <w:color w:val="404040"/>
                <w:sz w:val="20"/>
                <w:szCs w:val="20"/>
              </w:rPr>
              <w:t xml:space="preserve">This is the reason the teaching point about examining the entire bowel is so critical</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6"/>
              <w:bottom w:val="single" w:color="C00000"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CRITICAL ERRORS — Automatic Fail if any committed</w:t>
            </w:r>
          </w:p>
          <w:p>
            <w:pPr>
              <w:spacing w:before="40"/>
            </w:pPr>
            <w:r>
              <w:rPr>
                <w:rFonts w:ascii="Arial" w:cs="Arial" w:eastAsia="Arial" w:hAnsi="Arial"/>
                <w:color w:val="C00000"/>
                <w:sz w:val="20"/>
                <w:szCs w:val="20"/>
              </w:rPr>
              <w:t xml:space="preserve">☐  Not examining the entire small bowel for additional stones — multiple stones cause recurrent obstruction</w:t>
            </w:r>
          </w:p>
          <w:p>
            <w:pPr>
              <w:spacing w:before="40"/>
            </w:pPr>
            <w:r>
              <w:rPr>
                <w:rFonts w:ascii="Arial" w:cs="Arial" w:eastAsia="Arial" w:hAnsi="Arial"/>
                <w:color w:val="C00000"/>
                <w:sz w:val="20"/>
                <w:szCs w:val="20"/>
              </w:rPr>
              <w:t xml:space="preserve">☐  Not performing at minimum an enterolithotomy — gallstone ileus is a surgical condition, non-operative management will fail</w:t>
            </w:r>
          </w:p>
          <w:p>
            <w:pPr>
              <w:spacing w:before="40"/>
            </w:pPr>
            <w:r>
              <w:rPr>
                <w:rFonts w:ascii="Arial" w:cs="Arial" w:eastAsia="Arial" w:hAnsi="Arial"/>
                <w:color w:val="C00000"/>
                <w:sz w:val="20"/>
                <w:szCs w:val="20"/>
              </w:rPr>
              <w:t xml:space="preserve">☐  Performing complex one-stage cholecystectomy in an elderly frail patient — two-stage is safer</w:t>
            </w:r>
          </w:p>
          <w:p>
            <w:pPr>
              <w:spacing w:before="40"/>
            </w:pPr>
            <w:r>
              <w:rPr>
                <w:rFonts w:ascii="Arial" w:cs="Arial" w:eastAsia="Arial" w:hAnsi="Arial"/>
                <w:color w:val="C00000"/>
                <w:sz w:val="20"/>
                <w:szCs w:val="20"/>
              </w:rPr>
              <w:t xml:space="preserve">☐  Closing enterotomy longitudinally — creates stricture</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6"/>
              <w:bottom w:val="single" w:color="375623"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KEY TEACHING POINTS</w:t>
            </w:r>
          </w:p>
          <w:p>
            <w:pPr>
              <w:spacing w:before="40"/>
            </w:pPr>
            <w:r>
              <w:rPr>
                <w:rFonts w:ascii="Arial" w:cs="Arial" w:eastAsia="Arial" w:hAnsi="Arial"/>
                <w:color w:val="404040"/>
                <w:sz w:val="20"/>
                <w:szCs w:val="20"/>
              </w:rPr>
              <w:t xml:space="preserve">•  Rigler's triad: SBO + pneumobilia + ectopic gallstone (all three in only 30-40% — use CT)</w:t>
            </w:r>
          </w:p>
          <w:p>
            <w:pPr>
              <w:spacing w:before="40"/>
            </w:pPr>
            <w:r>
              <w:rPr>
                <w:rFonts w:ascii="Arial" w:cs="Arial" w:eastAsia="Arial" w:hAnsi="Arial"/>
                <w:color w:val="404040"/>
                <w:sz w:val="20"/>
                <w:szCs w:val="20"/>
              </w:rPr>
              <w:t xml:space="preserve">•  Entire small bowel must be palpated — multiple stones in 3-5%</w:t>
            </w:r>
          </w:p>
          <w:p>
            <w:pPr>
              <w:spacing w:before="40"/>
            </w:pPr>
            <w:r>
              <w:rPr>
                <w:rFonts w:ascii="Arial" w:cs="Arial" w:eastAsia="Arial" w:hAnsi="Arial"/>
                <w:color w:val="404040"/>
                <w:sz w:val="20"/>
                <w:szCs w:val="20"/>
              </w:rPr>
              <w:t xml:space="preserve">•  One-stage vs two-stage: one-stage when patient is stable and anatomy favorable; two-stage in elderly/high-risk</w:t>
            </w:r>
          </w:p>
          <w:p>
            <w:pPr>
              <w:spacing w:before="40"/>
            </w:pPr>
            <w:r>
              <w:rPr>
                <w:rFonts w:ascii="Arial" w:cs="Arial" w:eastAsia="Arial" w:hAnsi="Arial"/>
                <w:color w:val="404040"/>
                <w:sz w:val="20"/>
                <w:szCs w:val="20"/>
              </w:rPr>
              <w:t xml:space="preserve">•  Transverse (not longitudinal) enterotomy closure prevents stricture</w:t>
            </w:r>
          </w:p>
        </w:tc>
      </w:tr>
    </w:tbl>
    <w:p>
      <w:pPr>
        <w:spacing w:before="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19"/>
                <w:szCs w:val="19"/>
              </w:rPr>
              <w:t xml:space="preserve">EVIDENCE BASE &amp; REFERENCES</w:t>
            </w:r>
          </w:p>
          <w:p>
            <w:pPr>
              <w:spacing w:before="30"/>
            </w:pPr>
            <w:r>
              <w:rPr>
                <w:rFonts w:ascii="Arial" w:cs="Arial" w:eastAsia="Arial" w:hAnsi="Arial"/>
                <w:i/>
                <w:iCs/>
                <w:color w:val="595959"/>
                <w:sz w:val="18"/>
                <w:szCs w:val="18"/>
              </w:rPr>
              <w:t xml:space="preserve">Reisner RM, Cohen JR. Gallstone ileus: a review of 1001 cases. Am Surg 1994</w:t>
            </w:r>
          </w:p>
          <w:p>
            <w:pPr>
              <w:spacing w:before="30"/>
            </w:pPr>
            <w:r>
              <w:rPr>
                <w:rFonts w:ascii="Arial" w:cs="Arial" w:eastAsia="Arial" w:hAnsi="Arial"/>
                <w:i/>
                <w:iCs/>
                <w:color w:val="595959"/>
                <w:sz w:val="18"/>
                <w:szCs w:val="18"/>
              </w:rPr>
              <w:t xml:space="preserve">Lassandro F et al. Gallstone ileus analysis of 27 patients. Eur J Radiol 2004</w:t>
            </w:r>
          </w:p>
          <w:p>
            <w:pPr>
              <w:spacing w:before="30"/>
            </w:pPr>
            <w:r>
              <w:rPr>
                <w:rFonts w:ascii="Arial" w:cs="Arial" w:eastAsia="Arial" w:hAnsi="Arial"/>
                <w:i/>
                <w:iCs/>
                <w:color w:val="595959"/>
                <w:sz w:val="18"/>
                <w:szCs w:val="18"/>
              </w:rPr>
              <w:t xml:space="preserve">Doko M et al. Comparison of surgical strategies for gallstone ileus. J Am Coll Surg 2003</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ECU Department of Surgery  |  For examiner use only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0"/>
      <w:gridCol w:w="2800"/>
    </w:tblGrid>
    <w:tr>
      <w:tc>
        <w:tcPr>
          <w:tcW w:type="dxa" w:w="8000"/>
          <w:tcBorders>
            <w:top w:val="none" w:color="FFFFFF" w:sz="0"/>
            <w:left w:val="none" w:color="FFFFFF" w:sz="0"/>
            <w:bottom w:val="none" w:color="FFFFFF" w:sz="0"/>
            <w:right w:val="none" w:color="FFFFFF" w:sz="0"/>
          </w:tcBorders>
        </w:tcPr>
        <w:p>
          <w:r>
            <w:rPr>
              <w:rFonts w:ascii="Arial" w:cs="Arial" w:eastAsia="Arial" w:hAnsi="Arial"/>
              <w:color w:val="595959"/>
              <w:sz w:val="16"/>
              <w:szCs w:val="16"/>
            </w:rPr>
            <w:t xml:space="preserve">ECU General Surgery — Mock Oral Board Examiner Guide</w:t>
          </w:r>
          <w:r>
            <w:rPr>
              <w:rFonts w:ascii="Arial" w:cs="Arial" w:eastAsia="Arial" w:hAnsi="Arial"/>
              <w:b/>
              <w:bCs/>
              <w:color w:val="1F3864"/>
              <w:sz w:val="16"/>
              <w:szCs w:val="16"/>
            </w:rPr>
            <w:t xml:space="preserve">  |  Gallstone Ileus</w:t>
          </w:r>
        </w:p>
      </w:tc>
      <w:tc>
        <w:tcPr>
          <w:tcW w:type="dxa" w:w="2800"/>
          <w:tcBorders>
            <w:top w:val="none" w:color="FFFFFF" w:sz="0"/>
            <w:left w:val="none" w:color="FFFFFF" w:sz="0"/>
            <w:bottom w:val="none" w:color="FFFFFF" w:sz="0"/>
            <w:right w:val="none" w:color="FFFFFF" w:sz="0"/>
          </w:tcBorders>
        </w:tcPr>
        <w:p>
          <w:pPr>
            <w:jc w:val="right"/>
          </w:pPr>
          <w:r>
            <w:rPr>
              <w:rFonts w:ascii="Arial" w:cs="Arial" w:eastAsia="Arial" w:hAnsi="Arial"/>
              <w:color w:val="595959"/>
              <w:sz w:val="16"/>
              <w:szCs w:val="16"/>
            </w:rPr>
            <w:t xml:space="preserve">Core — GI/Hepatobiliary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2026-03-21T22:08:07.019Z</dcterms:created>
  <dcterms:modified xsi:type="dcterms:W3CDTF">2026-03-21T22:08:07.019Z</dcterms:modified>
</cp:coreProperties>
</file>

<file path=docProps/custom.xml><?xml version="1.0" encoding="utf-8"?>
<Properties xmlns="http://schemas.openxmlformats.org/officeDocument/2006/custom-properties" xmlns:vt="http://schemas.openxmlformats.org/officeDocument/2006/docPropsVTypes"/>
</file>