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Infected Ventral Hernia Mesh</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Hernia</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61-year-old male presents with a chronically draining wound from his midline incision 18 months after open ventral hernia repair with polypropylene mesh. Multiple antibiotic courses have given temporary improvement but the wound always recurs. CT confirms large polypropylene mesh with peri-mesh fluid and gas.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Infected synthetic mesh requires complete removal — antibiotics alone rarely achieve cure due to biofilm formation. The candidate must know the staged approach and why mesh can return to the clean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Why do antibiotics alone fail for infected synthetic mesh?</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Biofilm formation: bacteria attach to the synthetic mesh fibers and secrete a polysaccharide matrix (biofilm) that:</w:t>
            </w:r>
          </w:p>
          <w:p>
            <w:pPr>
              <w:pStyle w:val="ListParagraph"/>
              <w:numPr>
                <w:ilvl w:val="0"/>
                <w:numId w:val="2"/>
              </w:numPr>
              <w:spacing w:before="20" w:after="20"/>
            </w:pPr>
            <w:r>
              <w:rPr>
                <w:rFonts w:ascii="Arial" w:cs="Arial" w:eastAsia="Arial" w:hAnsi="Arial"/>
                <w:color w:val="404040"/>
                <w:sz w:val="20"/>
                <w:szCs w:val="20"/>
              </w:rPr>
              <w:t xml:space="preserve">  1. Protects bacteria from antibiotics — antibiotic penetration is severely limited</w:t>
            </w:r>
          </w:p>
          <w:p>
            <w:pPr>
              <w:pStyle w:val="ListParagraph"/>
              <w:numPr>
                <w:ilvl w:val="0"/>
                <w:numId w:val="2"/>
              </w:numPr>
              <w:spacing w:before="20" w:after="20"/>
            </w:pPr>
            <w:r>
              <w:rPr>
                <w:rFonts w:ascii="Arial" w:cs="Arial" w:eastAsia="Arial" w:hAnsi="Arial"/>
                <w:color w:val="404040"/>
                <w:sz w:val="20"/>
                <w:szCs w:val="20"/>
              </w:rPr>
              <w:t xml:space="preserve">  2. Impairs immune cell activity</w:t>
            </w:r>
          </w:p>
          <w:p>
            <w:pPr>
              <w:pStyle w:val="ListParagraph"/>
              <w:numPr>
                <w:ilvl w:val="0"/>
                <w:numId w:val="2"/>
              </w:numPr>
              <w:spacing w:before="20" w:after="20"/>
            </w:pPr>
            <w:r>
              <w:rPr>
                <w:rFonts w:ascii="Arial" w:cs="Arial" w:eastAsia="Arial" w:hAnsi="Arial"/>
                <w:color w:val="404040"/>
                <w:sz w:val="20"/>
                <w:szCs w:val="20"/>
              </w:rPr>
              <w:t xml:space="preserve">  3. Creates a microenvironment of chronic low-grade infection</w:t>
            </w:r>
          </w:p>
          <w:p>
            <w:pPr>
              <w:pStyle w:val="ListParagraph"/>
              <w:numPr>
                <w:ilvl w:val="0"/>
                <w:numId w:val="2"/>
              </w:numPr>
              <w:spacing w:before="20" w:after="20"/>
            </w:pPr>
            <w:r>
              <w:rPr>
                <w:rFonts w:ascii="Arial" w:cs="Arial" w:eastAsia="Arial" w:hAnsi="Arial"/>
                <w:color w:val="404040"/>
                <w:sz w:val="20"/>
                <w:szCs w:val="20"/>
              </w:rPr>
              <w:t xml:space="preserve">Result: antibiotics suppress infection temporarily → symptoms recur when antibiotics are stopped</w:t>
            </w:r>
          </w:p>
          <w:p>
            <w:pPr>
              <w:pStyle w:val="ListParagraph"/>
              <w:numPr>
                <w:ilvl w:val="0"/>
                <w:numId w:val="2"/>
              </w:numPr>
              <w:spacing w:before="20" w:after="20"/>
            </w:pPr>
            <w:r>
              <w:rPr>
                <w:rFonts w:ascii="Arial" w:cs="Arial" w:eastAsia="Arial" w:hAnsi="Arial"/>
                <w:color w:val="404040"/>
                <w:sz w:val="20"/>
                <w:szCs w:val="20"/>
              </w:rPr>
              <w:t xml:space="preserve">Complete mesh explantation is the standard of care for infected synthetic (polypropylene) mesh</w:t>
            </w:r>
          </w:p>
          <w:p>
            <w:pPr>
              <w:pStyle w:val="ListParagraph"/>
              <w:numPr>
                <w:ilvl w:val="0"/>
                <w:numId w:val="2"/>
              </w:numPr>
              <w:spacing w:before="20" w:after="20"/>
            </w:pPr>
            <w:r>
              <w:rPr>
                <w:rFonts w:ascii="Arial" w:cs="Arial" w:eastAsia="Arial" w:hAnsi="Arial"/>
                <w:color w:val="404040"/>
                <w:sz w:val="20"/>
                <w:szCs w:val="20"/>
              </w:rPr>
              <w:t xml:space="preserve">Exception: lightweight macroporous mesh in selected cases with aggressive local wound management — mesh salvage is sometimes attempted but has low success rates</w:t>
            </w:r>
          </w:p>
          <w:p>
            <w:pPr>
              <w:pStyle w:val="ListParagraph"/>
              <w:numPr>
                <w:ilvl w:val="0"/>
                <w:numId w:val="2"/>
              </w:numPr>
              <w:spacing w:before="20" w:after="20"/>
            </w:pPr>
            <w:r>
              <w:rPr>
                <w:rFonts w:ascii="Arial" w:cs="Arial" w:eastAsia="Arial" w:hAnsi="Arial"/>
                <w:color w:val="404040"/>
                <w:sz w:val="20"/>
                <w:szCs w:val="20"/>
              </w:rPr>
              <w:t xml:space="preserve">Biologic mesh: different biology, may be salvageable in some infections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Describe your staged operative plan.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Stage 1: Complete mesh explantation + wound control</w:t>
            </w:r>
          </w:p>
          <w:p>
            <w:pPr>
              <w:pStyle w:val="ListParagraph"/>
              <w:numPr>
                <w:ilvl w:val="0"/>
                <w:numId w:val="2"/>
              </w:numPr>
              <w:spacing w:before="20" w:after="20"/>
            </w:pPr>
            <w:r>
              <w:rPr>
                <w:rFonts w:ascii="Arial" w:cs="Arial" w:eastAsia="Arial" w:hAnsi="Arial"/>
                <w:color w:val="404040"/>
                <w:sz w:val="20"/>
                <w:szCs w:val="20"/>
              </w:rPr>
              <w:t xml:space="preserve">  Wound culture before OR — identify organisms, guide antibiotics</w:t>
            </w:r>
          </w:p>
          <w:p>
            <w:pPr>
              <w:pStyle w:val="ListParagraph"/>
              <w:numPr>
                <w:ilvl w:val="0"/>
                <w:numId w:val="2"/>
              </w:numPr>
              <w:spacing w:before="20" w:after="20"/>
            </w:pPr>
            <w:r>
              <w:rPr>
                <w:rFonts w:ascii="Arial" w:cs="Arial" w:eastAsia="Arial" w:hAnsi="Arial"/>
                <w:color w:val="404040"/>
                <w:sz w:val="20"/>
                <w:szCs w:val="20"/>
              </w:rPr>
              <w:t xml:space="preserve">  Excise infected skin and sinus tracts overlying mesh</w:t>
            </w:r>
          </w:p>
          <w:p>
            <w:pPr>
              <w:pStyle w:val="ListParagraph"/>
              <w:numPr>
                <w:ilvl w:val="0"/>
                <w:numId w:val="2"/>
              </w:numPr>
              <w:spacing w:before="20" w:after="20"/>
            </w:pPr>
            <w:r>
              <w:rPr>
                <w:rFonts w:ascii="Arial" w:cs="Arial" w:eastAsia="Arial" w:hAnsi="Arial"/>
                <w:color w:val="404040"/>
                <w:sz w:val="20"/>
                <w:szCs w:val="20"/>
              </w:rPr>
              <w:t xml:space="preserve">  Remove ALL mesh systematically — complete removal, including well-incorporated areas</w:t>
            </w:r>
          </w:p>
          <w:p>
            <w:pPr>
              <w:pStyle w:val="ListParagraph"/>
              <w:numPr>
                <w:ilvl w:val="0"/>
                <w:numId w:val="2"/>
              </w:numPr>
              <w:spacing w:before="20" w:after="20"/>
            </w:pPr>
            <w:r>
              <w:rPr>
                <w:rFonts w:ascii="Arial" w:cs="Arial" w:eastAsia="Arial" w:hAnsi="Arial"/>
                <w:color w:val="404040"/>
                <w:sz w:val="20"/>
                <w:szCs w:val="20"/>
              </w:rPr>
              <w:t xml:space="preserve">  Debride all infected tissue, necrotic fascia, contaminated fat</w:t>
            </w:r>
          </w:p>
          <w:p>
            <w:pPr>
              <w:pStyle w:val="ListParagraph"/>
              <w:numPr>
                <w:ilvl w:val="0"/>
                <w:numId w:val="2"/>
              </w:numPr>
              <w:spacing w:before="20" w:after="20"/>
            </w:pPr>
            <w:r>
              <w:rPr>
                <w:rFonts w:ascii="Arial" w:cs="Arial" w:eastAsia="Arial" w:hAnsi="Arial"/>
                <w:color w:val="404040"/>
                <w:sz w:val="20"/>
                <w:szCs w:val="20"/>
              </w:rPr>
              <w:t xml:space="preserve">  Send specimens for intraoperative culture</w:t>
            </w:r>
          </w:p>
          <w:p>
            <w:pPr>
              <w:pStyle w:val="ListParagraph"/>
              <w:numPr>
                <w:ilvl w:val="0"/>
                <w:numId w:val="2"/>
              </w:numPr>
              <w:spacing w:before="20" w:after="20"/>
            </w:pPr>
            <w:r>
              <w:rPr>
                <w:rFonts w:ascii="Arial" w:cs="Arial" w:eastAsia="Arial" w:hAnsi="Arial"/>
                <w:color w:val="404040"/>
                <w:sz w:val="20"/>
                <w:szCs w:val="20"/>
              </w:rPr>
              <w:t xml:space="preserve">  Leave wound open or partially open with wound VAC (NPWT) for granulation</w:t>
            </w:r>
          </w:p>
          <w:p>
            <w:pPr>
              <w:pStyle w:val="ListParagraph"/>
              <w:numPr>
                <w:ilvl w:val="0"/>
                <w:numId w:val="2"/>
              </w:numPr>
              <w:spacing w:before="20" w:after="20"/>
            </w:pPr>
            <w:r>
              <w:rPr>
                <w:rFonts w:ascii="Arial" w:cs="Arial" w:eastAsia="Arial" w:hAnsi="Arial"/>
                <w:color w:val="404040"/>
                <w:sz w:val="20"/>
                <w:szCs w:val="20"/>
              </w:rPr>
              <w:t xml:space="preserve">  IV antibiotics targeted to culture results</w:t>
            </w:r>
          </w:p>
          <w:p>
            <w:pPr>
              <w:pStyle w:val="ListParagraph"/>
              <w:numPr>
                <w:ilvl w:val="0"/>
                <w:numId w:val="2"/>
              </w:numPr>
              <w:spacing w:before="20" w:after="20"/>
            </w:pPr>
            <w:r>
              <w:rPr>
                <w:rFonts w:ascii="Arial" w:cs="Arial" w:eastAsia="Arial" w:hAnsi="Arial"/>
                <w:color w:val="404040"/>
                <w:sz w:val="20"/>
                <w:szCs w:val="20"/>
              </w:rPr>
              <w:t xml:space="preserve">Stage 2: Definitive reconstruction after wound is clean (3–6 months)</w:t>
            </w:r>
          </w:p>
          <w:p>
            <w:pPr>
              <w:pStyle w:val="ListParagraph"/>
              <w:numPr>
                <w:ilvl w:val="0"/>
                <w:numId w:val="2"/>
              </w:numPr>
              <w:spacing w:before="20" w:after="20"/>
            </w:pPr>
            <w:r>
              <w:rPr>
                <w:rFonts w:ascii="Arial" w:cs="Arial" w:eastAsia="Arial" w:hAnsi="Arial"/>
                <w:color w:val="404040"/>
                <w:sz w:val="20"/>
                <w:szCs w:val="20"/>
              </w:rPr>
              <w:t xml:space="preserve">  Pre-conditions: albumin &gt;3.0, no active infection, clean wound</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Complete explantation is essential. Partial explantation leaves a nidus of infection and the wound will NOT heal.</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Six months later: wound is clean, albumin 3.4. How do you plan reconstruction?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This is now a clean field (Class I) — can use synthetic mesh</w:t>
            </w:r>
          </w:p>
          <w:p>
            <w:pPr>
              <w:pStyle w:val="ListParagraph"/>
              <w:numPr>
                <w:ilvl w:val="0"/>
                <w:numId w:val="2"/>
              </w:numPr>
              <w:spacing w:before="20" w:after="20"/>
            </w:pPr>
            <w:r>
              <w:rPr>
                <w:rFonts w:ascii="Arial" w:cs="Arial" w:eastAsia="Arial" w:hAnsi="Arial"/>
                <w:color w:val="404040"/>
                <w:sz w:val="20"/>
                <w:szCs w:val="20"/>
              </w:rPr>
              <w:t xml:space="preserve">Best evidence: retromuscular (Rives-Stoppa) mesh placement</w:t>
            </w:r>
          </w:p>
          <w:p>
            <w:pPr>
              <w:pStyle w:val="ListParagraph"/>
              <w:numPr>
                <w:ilvl w:val="0"/>
                <w:numId w:val="2"/>
              </w:numPr>
              <w:spacing w:before="20" w:after="20"/>
            </w:pPr>
            <w:r>
              <w:rPr>
                <w:rFonts w:ascii="Arial" w:cs="Arial" w:eastAsia="Arial" w:hAnsi="Arial"/>
                <w:color w:val="404040"/>
                <w:sz w:val="20"/>
                <w:szCs w:val="20"/>
              </w:rPr>
              <w:t xml:space="preserve">  Mesh placed in the retromuscular space (posterior to rectus, anterior to posterior rectus sheath/peritoneum)</w:t>
            </w:r>
          </w:p>
          <w:p>
            <w:pPr>
              <w:pStyle w:val="ListParagraph"/>
              <w:numPr>
                <w:ilvl w:val="0"/>
                <w:numId w:val="2"/>
              </w:numPr>
              <w:spacing w:before="20" w:after="20"/>
            </w:pPr>
            <w:r>
              <w:rPr>
                <w:rFonts w:ascii="Arial" w:cs="Arial" w:eastAsia="Arial" w:hAnsi="Arial"/>
                <w:color w:val="404040"/>
                <w:sz w:val="20"/>
                <w:szCs w:val="20"/>
              </w:rPr>
              <w:t xml:space="preserve">  Lowest published recurrence rates for complex ventral hernias (5–10%)</w:t>
            </w:r>
          </w:p>
          <w:p>
            <w:pPr>
              <w:pStyle w:val="ListParagraph"/>
              <w:numPr>
                <w:ilvl w:val="0"/>
                <w:numId w:val="2"/>
              </w:numPr>
              <w:spacing w:before="20" w:after="20"/>
            </w:pPr>
            <w:r>
              <w:rPr>
                <w:rFonts w:ascii="Arial" w:cs="Arial" w:eastAsia="Arial" w:hAnsi="Arial"/>
                <w:color w:val="404040"/>
                <w:sz w:val="20"/>
                <w:szCs w:val="20"/>
              </w:rPr>
              <w:t xml:space="preserve">  Allows large mesh coverage and good tissue incorporation</w:t>
            </w:r>
          </w:p>
          <w:p>
            <w:pPr>
              <w:pStyle w:val="ListParagraph"/>
              <w:numPr>
                <w:ilvl w:val="0"/>
                <w:numId w:val="2"/>
              </w:numPr>
              <w:spacing w:before="20" w:after="20"/>
            </w:pPr>
            <w:r>
              <w:rPr>
                <w:rFonts w:ascii="Arial" w:cs="Arial" w:eastAsia="Arial" w:hAnsi="Arial"/>
                <w:color w:val="404040"/>
                <w:sz w:val="20"/>
                <w:szCs w:val="20"/>
              </w:rPr>
              <w:t xml:space="preserve">Consider component separation if large defect prevents primary fascial closure:</w:t>
            </w:r>
          </w:p>
          <w:p>
            <w:pPr>
              <w:pStyle w:val="ListParagraph"/>
              <w:numPr>
                <w:ilvl w:val="0"/>
                <w:numId w:val="2"/>
              </w:numPr>
              <w:spacing w:before="20" w:after="20"/>
            </w:pPr>
            <w:r>
              <w:rPr>
                <w:rFonts w:ascii="Arial" w:cs="Arial" w:eastAsia="Arial" w:hAnsi="Arial"/>
                <w:color w:val="404040"/>
                <w:sz w:val="20"/>
                <w:szCs w:val="20"/>
              </w:rPr>
              <w:t xml:space="preserve">  Anterior CS (Ramirez): external oblique release, 6–8 cm per side</w:t>
            </w:r>
          </w:p>
          <w:p>
            <w:pPr>
              <w:pStyle w:val="ListParagraph"/>
              <w:numPr>
                <w:ilvl w:val="0"/>
                <w:numId w:val="2"/>
              </w:numPr>
              <w:spacing w:before="20" w:after="20"/>
            </w:pPr>
            <w:r>
              <w:rPr>
                <w:rFonts w:ascii="Arial" w:cs="Arial" w:eastAsia="Arial" w:hAnsi="Arial"/>
                <w:color w:val="404040"/>
                <w:sz w:val="20"/>
                <w:szCs w:val="20"/>
              </w:rPr>
              <w:t xml:space="preserve">  Posterior CS (TAR): transversus abdominis release, additional 4–6 cm per side</w:t>
            </w:r>
          </w:p>
          <w:p>
            <w:pPr>
              <w:pStyle w:val="ListParagraph"/>
              <w:numPr>
                <w:ilvl w:val="0"/>
                <w:numId w:val="2"/>
              </w:numPr>
              <w:spacing w:before="20" w:after="20"/>
            </w:pPr>
            <w:r>
              <w:rPr>
                <w:rFonts w:ascii="Arial" w:cs="Arial" w:eastAsia="Arial" w:hAnsi="Arial"/>
                <w:color w:val="404040"/>
                <w:sz w:val="20"/>
                <w:szCs w:val="20"/>
              </w:rPr>
              <w:t xml:space="preserve">Lightweight polypropylene mesh: preferred in retromuscular position</w:t>
            </w:r>
          </w:p>
          <w:p>
            <w:pPr>
              <w:pStyle w:val="ListParagraph"/>
              <w:numPr>
                <w:ilvl w:val="0"/>
                <w:numId w:val="2"/>
              </w:numPr>
              <w:spacing w:before="20" w:after="20"/>
            </w:pPr>
            <w:r>
              <w:rPr>
                <w:rFonts w:ascii="Arial" w:cs="Arial" w:eastAsia="Arial" w:hAnsi="Arial"/>
                <w:color w:val="404040"/>
                <w:sz w:val="20"/>
                <w:szCs w:val="20"/>
              </w:rPr>
              <w:t xml:space="preserve">Biologic mesh: NOT needed once infection is cleared — save for contaminated fields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Mesh adherent to bowel</w:t>
            </w:r>
          </w:p>
          <w:p>
            <w:pPr>
              <w:spacing w:before="40"/>
            </w:pPr>
            <w:r>
              <w:rPr>
                <w:rFonts w:ascii="Arial" w:cs="Arial" w:eastAsia="Arial" w:hAnsi="Arial"/>
                <w:i/>
                <w:iCs/>
                <w:color w:val="404040"/>
                <w:sz w:val="20"/>
                <w:szCs w:val="20"/>
              </w:rPr>
              <w:t xml:space="preserve">During explantation, the mesh is densely adherent to small bowel. Removing it risks an enterotomy. What do you do?</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Accept the potential enterotomy — complete explantation is still the goal</w:t>
            </w:r>
          </w:p>
          <w:p>
            <w:pPr>
              <w:pStyle w:val="ListParagraph"/>
              <w:numPr>
                <w:ilvl w:val="0"/>
                <w:numId w:val="2"/>
              </w:numPr>
              <w:spacing w:before="20" w:after="20"/>
            </w:pPr>
            <w:r>
              <w:rPr>
                <w:rFonts w:ascii="Arial" w:cs="Arial" w:eastAsia="Arial" w:hAnsi="Arial"/>
                <w:color w:val="404040"/>
                <w:sz w:val="20"/>
                <w:szCs w:val="20"/>
              </w:rPr>
              <w:t xml:space="preserve">Sharp careful dissection to separate mesh from bowel — do NOT leave infected mesh for fear of enterotomy</w:t>
            </w:r>
          </w:p>
          <w:p>
            <w:pPr>
              <w:pStyle w:val="ListParagraph"/>
              <w:numPr>
                <w:ilvl w:val="0"/>
                <w:numId w:val="2"/>
              </w:numPr>
              <w:spacing w:before="20" w:after="20"/>
            </w:pPr>
            <w:r>
              <w:rPr>
                <w:rFonts w:ascii="Arial" w:cs="Arial" w:eastAsia="Arial" w:hAnsi="Arial"/>
                <w:color w:val="404040"/>
                <w:sz w:val="20"/>
                <w:szCs w:val="20"/>
              </w:rPr>
              <w:t xml:space="preserve">If enterotomy results: primary repair with absorbable suture</w:t>
            </w:r>
          </w:p>
          <w:p>
            <w:pPr>
              <w:pStyle w:val="ListParagraph"/>
              <w:numPr>
                <w:ilvl w:val="0"/>
                <w:numId w:val="2"/>
              </w:numPr>
              <w:spacing w:before="20" w:after="20"/>
            </w:pPr>
            <w:r>
              <w:rPr>
                <w:rFonts w:ascii="Arial" w:cs="Arial" w:eastAsia="Arial" w:hAnsi="Arial"/>
                <w:color w:val="404040"/>
                <w:sz w:val="20"/>
                <w:szCs w:val="20"/>
              </w:rPr>
              <w:t xml:space="preserve">If large or bowel compromised: bowel resection + anastomosis or stoma</w:t>
            </w:r>
          </w:p>
          <w:p>
            <w:pPr>
              <w:pStyle w:val="ListParagraph"/>
              <w:numPr>
                <w:ilvl w:val="0"/>
                <w:numId w:val="2"/>
              </w:numPr>
              <w:spacing w:before="20" w:after="20"/>
            </w:pPr>
            <w:r>
              <w:rPr>
                <w:rFonts w:ascii="Arial" w:cs="Arial" w:eastAsia="Arial" w:hAnsi="Arial"/>
                <w:color w:val="404040"/>
                <w:sz w:val="20"/>
                <w:szCs w:val="20"/>
              </w:rPr>
              <w:t xml:space="preserve">Post-operative: increased risk of fistula when mesh and bowel repair are in the same contaminated field — close observation</w:t>
            </w:r>
          </w:p>
          <w:p>
            <w:pPr>
              <w:pStyle w:val="ListParagraph"/>
              <w:numPr>
                <w:ilvl w:val="0"/>
                <w:numId w:val="2"/>
              </w:numPr>
              <w:spacing w:before="20" w:after="20"/>
            </w:pPr>
            <w:r>
              <w:rPr>
                <w:rFonts w:ascii="Arial" w:cs="Arial" w:eastAsia="Arial" w:hAnsi="Arial"/>
                <w:color w:val="404040"/>
                <w:sz w:val="20"/>
                <w:szCs w:val="20"/>
              </w:rPr>
              <w:t xml:space="preserve">A controlled enterotomy with primary repair is preferable to leaving infected mesh behind</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MRSA culture</w:t>
            </w:r>
          </w:p>
          <w:p>
            <w:pPr>
              <w:spacing w:before="40"/>
            </w:pPr>
            <w:r>
              <w:rPr>
                <w:rFonts w:ascii="Arial" w:cs="Arial" w:eastAsia="Arial" w:hAnsi="Arial"/>
                <w:i/>
                <w:iCs/>
                <w:color w:val="404040"/>
                <w:sz w:val="20"/>
                <w:szCs w:val="20"/>
              </w:rPr>
              <w:t xml:space="preserve">Culture returns MRSA. How does this change antibiotic management?</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IV vancomycin: weight-based dosing with AUC-guided monitoring (trough 15-20 historically; AUC:MIC ratio now preferred)</w:t>
            </w:r>
          </w:p>
          <w:p>
            <w:pPr>
              <w:pStyle w:val="ListParagraph"/>
              <w:numPr>
                <w:ilvl w:val="0"/>
                <w:numId w:val="2"/>
              </w:numPr>
              <w:spacing w:before="20" w:after="20"/>
            </w:pPr>
            <w:r>
              <w:rPr>
                <w:rFonts w:ascii="Arial" w:cs="Arial" w:eastAsia="Arial" w:hAnsi="Arial"/>
                <w:color w:val="404040"/>
                <w:sz w:val="20"/>
                <w:szCs w:val="20"/>
              </w:rPr>
              <w:t xml:space="preserve">Alternative: daptomycin or linezolid if vancomycin intolerant or renal failure</w:t>
            </w:r>
          </w:p>
          <w:p>
            <w:pPr>
              <w:pStyle w:val="ListParagraph"/>
              <w:numPr>
                <w:ilvl w:val="0"/>
                <w:numId w:val="2"/>
              </w:numPr>
              <w:spacing w:before="20" w:after="20"/>
            </w:pPr>
            <w:r>
              <w:rPr>
                <w:rFonts w:ascii="Arial" w:cs="Arial" w:eastAsia="Arial" w:hAnsi="Arial"/>
                <w:color w:val="404040"/>
                <w:sz w:val="20"/>
                <w:szCs w:val="20"/>
              </w:rPr>
              <w:t xml:space="preserve">Duration: 4–6 weeks from explantation for MRSA mesh infection</w:t>
            </w:r>
          </w:p>
          <w:p>
            <w:pPr>
              <w:pStyle w:val="ListParagraph"/>
              <w:numPr>
                <w:ilvl w:val="0"/>
                <w:numId w:val="2"/>
              </w:numPr>
              <w:spacing w:before="20" w:after="20"/>
            </w:pPr>
            <w:r>
              <w:rPr>
                <w:rFonts w:ascii="Arial" w:cs="Arial" w:eastAsia="Arial" w:hAnsi="Arial"/>
                <w:color w:val="404040"/>
                <w:sz w:val="20"/>
                <w:szCs w:val="20"/>
              </w:rPr>
              <w:t xml:space="preserve">Infectious disease consultation for complex MRSA cases</w:t>
            </w:r>
          </w:p>
          <w:p>
            <w:pPr>
              <w:pStyle w:val="ListParagraph"/>
              <w:numPr>
                <w:ilvl w:val="0"/>
                <w:numId w:val="2"/>
              </w:numPr>
              <w:spacing w:before="20" w:after="20"/>
            </w:pPr>
            <w:r>
              <w:rPr>
                <w:rFonts w:ascii="Arial" w:cs="Arial" w:eastAsia="Arial" w:hAnsi="Arial"/>
                <w:color w:val="404040"/>
                <w:sz w:val="20"/>
                <w:szCs w:val="20"/>
              </w:rPr>
              <w:t xml:space="preserve">De-escalation to oral therapy: doxycycline or TMP-SMX after IV course if susceptible</w:t>
            </w:r>
          </w:p>
          <w:p>
            <w:pPr>
              <w:pStyle w:val="ListParagraph"/>
              <w:numPr>
                <w:ilvl w:val="0"/>
                <w:numId w:val="2"/>
              </w:numPr>
              <w:spacing w:before="20" w:after="20"/>
            </w:pPr>
            <w:r>
              <w:rPr>
                <w:rFonts w:ascii="Arial" w:cs="Arial" w:eastAsia="Arial" w:hAnsi="Arial"/>
                <w:color w:val="404040"/>
                <w:sz w:val="20"/>
                <w:szCs w:val="20"/>
              </w:rPr>
              <w:t xml:space="preserve">Repeat CT at 4–6 weeks: confirm collection resolution before reconstruction planning</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Treating infected synthetic mesh with antibiotics alone and NOT performing explantation</w:t>
            </w:r>
          </w:p>
          <w:p>
            <w:pPr>
              <w:spacing w:before="40"/>
            </w:pPr>
            <w:r>
              <w:rPr>
                <w:rFonts w:ascii="Arial" w:cs="Arial" w:eastAsia="Arial" w:hAnsi="Arial"/>
                <w:color w:val="C00000"/>
                <w:sz w:val="20"/>
                <w:szCs w:val="20"/>
              </w:rPr>
              <w:t xml:space="preserve">☐  Attempting single-stage repair in an infected field — new mesh will become infected</w:t>
            </w:r>
          </w:p>
          <w:p>
            <w:pPr>
              <w:spacing w:before="40"/>
            </w:pPr>
            <w:r>
              <w:rPr>
                <w:rFonts w:ascii="Arial" w:cs="Arial" w:eastAsia="Arial" w:hAnsi="Arial"/>
                <w:color w:val="C00000"/>
                <w:sz w:val="20"/>
                <w:szCs w:val="20"/>
              </w:rPr>
              <w:t xml:space="preserve">☐  Leaving partial mesh behind when complete removal is technically feasible — perpetuates infection</w:t>
            </w:r>
          </w:p>
          <w:p>
            <w:pPr>
              <w:spacing w:before="40"/>
            </w:pPr>
            <w:r>
              <w:rPr>
                <w:rFonts w:ascii="Arial" w:cs="Arial" w:eastAsia="Arial" w:hAnsi="Arial"/>
                <w:color w:val="C00000"/>
                <w:sz w:val="20"/>
                <w:szCs w:val="20"/>
              </w:rPr>
              <w:t xml:space="preserve">☐  Not nutritionally optimizing patient before reconstruction (albumin &lt;3.0)</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Infected synthetic mesh: complete explantation is mandatory. Biofilm prevents antibiotic cure.</w:t>
            </w:r>
          </w:p>
          <w:p>
            <w:pPr>
              <w:spacing w:before="40"/>
            </w:pPr>
            <w:r>
              <w:rPr>
                <w:rFonts w:ascii="Arial" w:cs="Arial" w:eastAsia="Arial" w:hAnsi="Arial"/>
                <w:color w:val="404040"/>
                <w:sz w:val="20"/>
                <w:szCs w:val="20"/>
              </w:rPr>
              <w:t xml:space="preserve">•  Staged approach: explantation + NPWT → nutritional optimization → Rives-Stoppa reconstruction (3–6 months later)</w:t>
            </w:r>
          </w:p>
          <w:p>
            <w:pPr>
              <w:spacing w:before="40"/>
            </w:pPr>
            <w:r>
              <w:rPr>
                <w:rFonts w:ascii="Arial" w:cs="Arial" w:eastAsia="Arial" w:hAnsi="Arial"/>
                <w:color w:val="404040"/>
                <w:sz w:val="20"/>
                <w:szCs w:val="20"/>
              </w:rPr>
              <w:t xml:space="preserve">•  Rives-Stoppa retromuscular repair: lowest recurrence rates for complex ventral hernias</w:t>
            </w:r>
          </w:p>
          <w:p>
            <w:pPr>
              <w:spacing w:before="40"/>
            </w:pPr>
            <w:r>
              <w:rPr>
                <w:rFonts w:ascii="Arial" w:cs="Arial" w:eastAsia="Arial" w:hAnsi="Arial"/>
                <w:color w:val="404040"/>
                <w:sz w:val="20"/>
                <w:szCs w:val="20"/>
              </w:rPr>
              <w:t xml:space="preserve">•  Biologic mesh for contaminated fields; synthetic (lightweight PP) in retromuscular position for clean reconstruction</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Ventral Hernia Working Group Guidelines. Hernia 2010</w:t>
            </w:r>
          </w:p>
          <w:p>
            <w:pPr>
              <w:spacing w:before="30"/>
            </w:pPr>
            <w:r>
              <w:rPr>
                <w:rFonts w:ascii="Arial" w:cs="Arial" w:eastAsia="Arial" w:hAnsi="Arial"/>
                <w:i/>
                <w:iCs/>
                <w:color w:val="595959"/>
                <w:sz w:val="18"/>
                <w:szCs w:val="18"/>
              </w:rPr>
              <w:t xml:space="preserve">Breuing K et al. Incisional ventral hernias: review and recommendations. Surgery 2010</w:t>
            </w:r>
          </w:p>
          <w:p>
            <w:pPr>
              <w:spacing w:before="30"/>
            </w:pPr>
            <w:r>
              <w:rPr>
                <w:rFonts w:ascii="Arial" w:cs="Arial" w:eastAsia="Arial" w:hAnsi="Arial"/>
                <w:i/>
                <w:iCs/>
                <w:color w:val="595959"/>
                <w:sz w:val="18"/>
                <w:szCs w:val="18"/>
              </w:rPr>
              <w:t xml:space="preserve">Dietz UA et al. Infected mesh after hernia repair. Am Surg 2007</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Infected Ventral Hernia Mesh</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Hernia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2026-03-21T22:08:07.291Z</dcterms:created>
  <dcterms:modified xsi:type="dcterms:W3CDTF">2026-03-21T22:08:07.291Z</dcterms:modified>
</cp:coreProperties>
</file>

<file path=docProps/custom.xml><?xml version="1.0" encoding="utf-8"?>
<Properties xmlns="http://schemas.openxmlformats.org/officeDocument/2006/custom-properties" xmlns:vt="http://schemas.openxmlformats.org/officeDocument/2006/docPropsVTypes"/>
</file>