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Ischemic Colitis — Post-Operative Leak</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Advanced</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4–5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Colorectal</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A 68-year-old male underwent an infrarenal aortic aneurysm repair (open) 3 days ago. He develops fever, WBC 22k, and bloody diarrhea on POD 3. Hemodynamically stable.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Post-aortic surgery ischemic colitis is one of the most serious operative complications. Test recognition, diagnostic approach, classification of severity, and management from conservative to surgical. Flexible sigmoidoscopy is the key diagnostic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Why does ischemic colitis occur after aortic surgery and what is the pathophysiology?</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Post-aortic surgery ischemic colitis: occurs in 2–7% of open aortic cases, up to 30% after AAA rupture repair</w:t>
            </w:r>
          </w:p>
          <w:p>
            <w:pPr>
              <w:pStyle w:val="ListParagraph"/>
              <w:numPr>
                <w:ilvl w:val="0"/>
                <w:numId w:val="2"/>
              </w:numPr>
              <w:spacing w:before="20" w:after="20"/>
            </w:pPr>
            <w:r>
              <w:rPr>
                <w:rFonts w:ascii="Arial" w:cs="Arial" w:eastAsia="Arial" w:hAnsi="Arial"/>
                <w:color w:val="404040"/>
                <w:sz w:val="20"/>
                <w:szCs w:val="20"/>
              </w:rPr>
              <w:t xml:space="preserve">Mechanism: interruption of the inferior mesenteric artery (IMA) during aortic repair</w:t>
            </w:r>
          </w:p>
          <w:p>
            <w:pPr>
              <w:pStyle w:val="ListParagraph"/>
              <w:numPr>
                <w:ilvl w:val="0"/>
                <w:numId w:val="2"/>
              </w:numPr>
              <w:spacing w:before="20" w:after="20"/>
            </w:pPr>
            <w:r>
              <w:rPr>
                <w:rFonts w:ascii="Arial" w:cs="Arial" w:eastAsia="Arial" w:hAnsi="Arial"/>
                <w:color w:val="404040"/>
                <w:sz w:val="20"/>
                <w:szCs w:val="20"/>
              </w:rPr>
              <w:t xml:space="preserve">  Sigmoid colon and left colon depend on the IMA — if IMA reimplantation or collateral flow is inadequate, ischemia results</w:t>
            </w:r>
          </w:p>
          <w:p>
            <w:pPr>
              <w:pStyle w:val="ListParagraph"/>
              <w:numPr>
                <w:ilvl w:val="0"/>
                <w:numId w:val="2"/>
              </w:numPr>
              <w:spacing w:before="20" w:after="20"/>
            </w:pPr>
            <w:r>
              <w:rPr>
                <w:rFonts w:ascii="Arial" w:cs="Arial" w:eastAsia="Arial" w:hAnsi="Arial"/>
                <w:color w:val="404040"/>
                <w:sz w:val="20"/>
                <w:szCs w:val="20"/>
              </w:rPr>
              <w:t xml:space="preserve">  The splenic flexure (Griffith's point) and rectosigmoid (Sudeck's point) are 'watershed' areas of least collateral flow</w:t>
            </w:r>
          </w:p>
          <w:p>
            <w:pPr>
              <w:pStyle w:val="ListParagraph"/>
              <w:numPr>
                <w:ilvl w:val="0"/>
                <w:numId w:val="2"/>
              </w:numPr>
              <w:spacing w:before="20" w:after="20"/>
            </w:pPr>
            <w:r>
              <w:rPr>
                <w:rFonts w:ascii="Arial" w:cs="Arial" w:eastAsia="Arial" w:hAnsi="Arial"/>
                <w:color w:val="404040"/>
                <w:sz w:val="20"/>
                <w:szCs w:val="20"/>
              </w:rPr>
              <w:t xml:space="preserve">Risk factors: ruptured AAA, prolonged ischemia time, failure to reimplant a large IMA, hypotension, embolization</w:t>
            </w:r>
          </w:p>
          <w:p>
            <w:pPr>
              <w:pStyle w:val="ListParagraph"/>
              <w:numPr>
                <w:ilvl w:val="0"/>
                <w:numId w:val="2"/>
              </w:numPr>
              <w:spacing w:before="20" w:after="20"/>
            </w:pPr>
            <w:r>
              <w:rPr>
                <w:rFonts w:ascii="Arial" w:cs="Arial" w:eastAsia="Arial" w:hAnsi="Arial"/>
                <w:color w:val="404040"/>
                <w:sz w:val="20"/>
                <w:szCs w:val="20"/>
              </w:rPr>
              <w:t xml:space="preserve">Clinical presentation: bloody diarrhea, fever, leukocytosis, on POD 2–5</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How do you diagnose and classify ischemic colitis?</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Flexible sigmoidoscopy: GOLD STANDARD for diagnosis — direct visualization of colonic mucosa</w:t>
            </w:r>
          </w:p>
          <w:p>
            <w:pPr>
              <w:pStyle w:val="ListParagraph"/>
              <w:numPr>
                <w:ilvl w:val="0"/>
                <w:numId w:val="2"/>
              </w:numPr>
              <w:spacing w:before="20" w:after="20"/>
            </w:pPr>
            <w:r>
              <w:rPr>
                <w:rFonts w:ascii="Arial" w:cs="Arial" w:eastAsia="Arial" w:hAnsi="Arial"/>
                <w:color w:val="404040"/>
                <w:sz w:val="20"/>
                <w:szCs w:val="20"/>
              </w:rPr>
              <w:t xml:space="preserve">  Perform at bedside within 24 hours of clinical suspicion</w:t>
            </w:r>
          </w:p>
          <w:p>
            <w:pPr>
              <w:pStyle w:val="ListParagraph"/>
              <w:numPr>
                <w:ilvl w:val="0"/>
                <w:numId w:val="2"/>
              </w:numPr>
              <w:spacing w:before="20" w:after="20"/>
            </w:pPr>
            <w:r>
              <w:rPr>
                <w:rFonts w:ascii="Arial" w:cs="Arial" w:eastAsia="Arial" w:hAnsi="Arial"/>
                <w:color w:val="404040"/>
                <w:sz w:val="20"/>
                <w:szCs w:val="20"/>
              </w:rPr>
              <w:t xml:space="preserve">  Findings: pallor, cyanosis, ulceration, hemorrhagic mucosa, sloughing, frank necrosis</w:t>
            </w:r>
          </w:p>
          <w:p>
            <w:pPr>
              <w:pStyle w:val="ListParagraph"/>
              <w:numPr>
                <w:ilvl w:val="0"/>
                <w:numId w:val="2"/>
              </w:numPr>
              <w:spacing w:before="20" w:after="20"/>
            </w:pPr>
            <w:r>
              <w:rPr>
                <w:rFonts w:ascii="Arial" w:cs="Arial" w:eastAsia="Arial" w:hAnsi="Arial"/>
                <w:color w:val="404040"/>
                <w:sz w:val="20"/>
                <w:szCs w:val="20"/>
              </w:rPr>
              <w:t xml:space="preserve">  Assess depth: mucosal ischemia vs transmural necrosis</w:t>
            </w:r>
          </w:p>
          <w:p>
            <w:pPr>
              <w:pStyle w:val="ListParagraph"/>
              <w:numPr>
                <w:ilvl w:val="0"/>
                <w:numId w:val="2"/>
              </w:numPr>
              <w:spacing w:before="20" w:after="20"/>
            </w:pPr>
            <w:r>
              <w:rPr>
                <w:rFonts w:ascii="Arial" w:cs="Arial" w:eastAsia="Arial" w:hAnsi="Arial"/>
                <w:color w:val="404040"/>
                <w:sz w:val="20"/>
                <w:szCs w:val="20"/>
              </w:rPr>
              <w:t xml:space="preserve">Classification of severity:</w:t>
            </w:r>
          </w:p>
          <w:p>
            <w:pPr>
              <w:pStyle w:val="ListParagraph"/>
              <w:numPr>
                <w:ilvl w:val="0"/>
                <w:numId w:val="2"/>
              </w:numPr>
              <w:spacing w:before="20" w:after="20"/>
            </w:pPr>
            <w:r>
              <w:rPr>
                <w:rFonts w:ascii="Arial" w:cs="Arial" w:eastAsia="Arial" w:hAnsi="Arial"/>
                <w:color w:val="404040"/>
                <w:sz w:val="20"/>
                <w:szCs w:val="20"/>
              </w:rPr>
              <w:t xml:space="preserve">  Grade I: mucosal ischemia (reversible) — submucosal edema, pallor</w:t>
            </w:r>
          </w:p>
          <w:p>
            <w:pPr>
              <w:pStyle w:val="ListParagraph"/>
              <w:numPr>
                <w:ilvl w:val="0"/>
                <w:numId w:val="2"/>
              </w:numPr>
              <w:spacing w:before="20" w:after="20"/>
            </w:pPr>
            <w:r>
              <w:rPr>
                <w:rFonts w:ascii="Arial" w:cs="Arial" w:eastAsia="Arial" w:hAnsi="Arial"/>
                <w:color w:val="404040"/>
                <w:sz w:val="20"/>
                <w:szCs w:val="20"/>
              </w:rPr>
              <w:t xml:space="preserve">  Grade II: muscular involvement — ulceration, hemorrhagic mucosa — may progress</w:t>
            </w:r>
          </w:p>
          <w:p>
            <w:pPr>
              <w:pStyle w:val="ListParagraph"/>
              <w:numPr>
                <w:ilvl w:val="0"/>
                <w:numId w:val="2"/>
              </w:numPr>
              <w:spacing w:before="20" w:after="20"/>
            </w:pPr>
            <w:r>
              <w:rPr>
                <w:rFonts w:ascii="Arial" w:cs="Arial" w:eastAsia="Arial" w:hAnsi="Arial"/>
                <w:color w:val="404040"/>
                <w:sz w:val="20"/>
                <w:szCs w:val="20"/>
              </w:rPr>
              <w:t xml:space="preserve">  Grade III: transmural necrosis — irreversible — requires surgery</w:t>
            </w:r>
          </w:p>
          <w:p>
            <w:pPr>
              <w:pStyle w:val="ListParagraph"/>
              <w:numPr>
                <w:ilvl w:val="0"/>
                <w:numId w:val="2"/>
              </w:numPr>
              <w:spacing w:before="20" w:after="20"/>
            </w:pPr>
            <w:r>
              <w:rPr>
                <w:rFonts w:ascii="Arial" w:cs="Arial" w:eastAsia="Arial" w:hAnsi="Arial"/>
                <w:color w:val="404040"/>
                <w:sz w:val="20"/>
                <w:szCs w:val="20"/>
              </w:rPr>
              <w:t xml:space="preserve">CT abdomen: thickened colon, portal venous gas (in transmural ischemia), pneumatosis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Sigmoidoscopy shows Grade I–II ischemia (hemorrhagic mucosa, no transmural necrosis). How do you manage?</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Grade I–II: non-operative management is appropriate if hemodynamically stable</w:t>
            </w:r>
          </w:p>
          <w:p>
            <w:pPr>
              <w:pStyle w:val="ListParagraph"/>
              <w:numPr>
                <w:ilvl w:val="0"/>
                <w:numId w:val="2"/>
              </w:numPr>
              <w:spacing w:before="20" w:after="20"/>
            </w:pPr>
            <w:r>
              <w:rPr>
                <w:rFonts w:ascii="Arial" w:cs="Arial" w:eastAsia="Arial" w:hAnsi="Arial"/>
                <w:color w:val="404040"/>
                <w:sz w:val="20"/>
                <w:szCs w:val="20"/>
              </w:rPr>
              <w:t xml:space="preserve">NPO: bowel rest — stop oral intake, minimize luminal bacterial load</w:t>
            </w:r>
          </w:p>
          <w:p>
            <w:pPr>
              <w:pStyle w:val="ListParagraph"/>
              <w:numPr>
                <w:ilvl w:val="0"/>
                <w:numId w:val="2"/>
              </w:numPr>
              <w:spacing w:before="20" w:after="20"/>
            </w:pPr>
            <w:r>
              <w:rPr>
                <w:rFonts w:ascii="Arial" w:cs="Arial" w:eastAsia="Arial" w:hAnsi="Arial"/>
                <w:color w:val="404040"/>
                <w:sz w:val="20"/>
                <w:szCs w:val="20"/>
              </w:rPr>
              <w:t xml:space="preserve">IV broad-spectrum antibiotics: cover gram-negatives and anaerobes</w:t>
            </w:r>
          </w:p>
          <w:p>
            <w:pPr>
              <w:pStyle w:val="ListParagraph"/>
              <w:numPr>
                <w:ilvl w:val="0"/>
                <w:numId w:val="2"/>
              </w:numPr>
              <w:spacing w:before="20" w:after="20"/>
            </w:pPr>
            <w:r>
              <w:rPr>
                <w:rFonts w:ascii="Arial" w:cs="Arial" w:eastAsia="Arial" w:hAnsi="Arial"/>
                <w:color w:val="404040"/>
                <w:sz w:val="20"/>
                <w:szCs w:val="20"/>
              </w:rPr>
              <w:t xml:space="preserve">Aggressive IV fluid resuscitation and hemodynamic optimization: correct any hypoperfusion</w:t>
            </w:r>
          </w:p>
          <w:p>
            <w:pPr>
              <w:pStyle w:val="ListParagraph"/>
              <w:numPr>
                <w:ilvl w:val="0"/>
                <w:numId w:val="2"/>
              </w:numPr>
              <w:spacing w:before="20" w:after="20"/>
            </w:pPr>
            <w:r>
              <w:rPr>
                <w:rFonts w:ascii="Arial" w:cs="Arial" w:eastAsia="Arial" w:hAnsi="Arial"/>
                <w:color w:val="404040"/>
                <w:sz w:val="20"/>
                <w:szCs w:val="20"/>
              </w:rPr>
              <w:t xml:space="preserve">Serial abdominal exams: every 4–6 hours</w:t>
            </w:r>
          </w:p>
          <w:p>
            <w:pPr>
              <w:pStyle w:val="ListParagraph"/>
              <w:numPr>
                <w:ilvl w:val="0"/>
                <w:numId w:val="2"/>
              </w:numPr>
              <w:spacing w:before="20" w:after="20"/>
            </w:pPr>
            <w:r>
              <w:rPr>
                <w:rFonts w:ascii="Arial" w:cs="Arial" w:eastAsia="Arial" w:hAnsi="Arial"/>
                <w:color w:val="404040"/>
                <w:sz w:val="20"/>
                <w:szCs w:val="20"/>
              </w:rPr>
              <w:t xml:space="preserve">Repeat flexible sigmoidoscopy: at 24 hours and again at 48–72 hours to confirm improvement or progression</w:t>
            </w:r>
          </w:p>
          <w:p>
            <w:pPr>
              <w:pStyle w:val="ListParagraph"/>
              <w:numPr>
                <w:ilvl w:val="0"/>
                <w:numId w:val="2"/>
              </w:numPr>
              <w:spacing w:before="20" w:after="20"/>
            </w:pPr>
            <w:r>
              <w:rPr>
                <w:rFonts w:ascii="Arial" w:cs="Arial" w:eastAsia="Arial" w:hAnsi="Arial"/>
                <w:color w:val="404040"/>
                <w:sz w:val="20"/>
                <w:szCs w:val="20"/>
              </w:rPr>
              <w:t xml:space="preserve">Most Grade I–II cases resolve with conservative management</w:t>
            </w:r>
          </w:p>
          <w:p>
            <w:pPr>
              <w:pStyle w:val="ListParagraph"/>
              <w:numPr>
                <w:ilvl w:val="0"/>
                <w:numId w:val="2"/>
              </w:numPr>
              <w:spacing w:before="20" w:after="20"/>
            </w:pPr>
            <w:r>
              <w:rPr>
                <w:rFonts w:ascii="Arial" w:cs="Arial" w:eastAsia="Arial" w:hAnsi="Arial"/>
                <w:color w:val="404040"/>
                <w:sz w:val="20"/>
                <w:szCs w:val="20"/>
              </w:rPr>
              <w:t xml:space="preserve">Transition to oral feeding after: improvement in exam, decrease in bloody diarrhea, WBC trending down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are the indications for emergent operative intervention?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Peritonitis (transmural necrosis = Grade III)</w:t>
            </w:r>
          </w:p>
          <w:p>
            <w:pPr>
              <w:pStyle w:val="ListParagraph"/>
              <w:numPr>
                <w:ilvl w:val="0"/>
                <w:numId w:val="2"/>
              </w:numPr>
              <w:spacing w:before="20" w:after="20"/>
            </w:pPr>
            <w:r>
              <w:rPr>
                <w:rFonts w:ascii="Arial" w:cs="Arial" w:eastAsia="Arial" w:hAnsi="Arial"/>
                <w:color w:val="404040"/>
                <w:sz w:val="20"/>
                <w:szCs w:val="20"/>
              </w:rPr>
              <w:t xml:space="preserve">Pneumoperitoneum (perforation)</w:t>
            </w:r>
          </w:p>
          <w:p>
            <w:pPr>
              <w:pStyle w:val="ListParagraph"/>
              <w:numPr>
                <w:ilvl w:val="0"/>
                <w:numId w:val="2"/>
              </w:numPr>
              <w:spacing w:before="20" w:after="20"/>
            </w:pPr>
            <w:r>
              <w:rPr>
                <w:rFonts w:ascii="Arial" w:cs="Arial" w:eastAsia="Arial" w:hAnsi="Arial"/>
                <w:color w:val="404040"/>
                <w:sz w:val="20"/>
                <w:szCs w:val="20"/>
              </w:rPr>
              <w:t xml:space="preserve">Hemodynamic instability not responding to resuscitation</w:t>
            </w:r>
          </w:p>
          <w:p>
            <w:pPr>
              <w:pStyle w:val="ListParagraph"/>
              <w:numPr>
                <w:ilvl w:val="0"/>
                <w:numId w:val="2"/>
              </w:numPr>
              <w:spacing w:before="20" w:after="20"/>
            </w:pPr>
            <w:r>
              <w:rPr>
                <w:rFonts w:ascii="Arial" w:cs="Arial" w:eastAsia="Arial" w:hAnsi="Arial"/>
                <w:color w:val="404040"/>
                <w:sz w:val="20"/>
                <w:szCs w:val="20"/>
              </w:rPr>
              <w:t xml:space="preserve">Worsening sigmoidoscopy findings (progression to Grade III)</w:t>
            </w:r>
          </w:p>
          <w:p>
            <w:pPr>
              <w:pStyle w:val="ListParagraph"/>
              <w:numPr>
                <w:ilvl w:val="0"/>
                <w:numId w:val="2"/>
              </w:numPr>
              <w:spacing w:before="20" w:after="20"/>
            </w:pPr>
            <w:r>
              <w:rPr>
                <w:rFonts w:ascii="Arial" w:cs="Arial" w:eastAsia="Arial" w:hAnsi="Arial"/>
                <w:color w:val="404040"/>
                <w:sz w:val="20"/>
                <w:szCs w:val="20"/>
              </w:rPr>
              <w:t xml:space="preserve">Progressive leukocytosis and fever not improving on conservative management</w:t>
            </w:r>
          </w:p>
          <w:p>
            <w:pPr>
              <w:pStyle w:val="ListParagraph"/>
              <w:numPr>
                <w:ilvl w:val="0"/>
                <w:numId w:val="2"/>
              </w:numPr>
              <w:spacing w:before="20" w:after="20"/>
            </w:pPr>
            <w:r>
              <w:rPr>
                <w:rFonts w:ascii="Arial" w:cs="Arial" w:eastAsia="Arial" w:hAnsi="Arial"/>
                <w:color w:val="404040"/>
                <w:sz w:val="20"/>
                <w:szCs w:val="20"/>
              </w:rPr>
              <w:t xml:space="preserve">Operative approach: left hemicolectomy or total abdominal colectomy (if right colon also ischemic) with end ileostomy or end colostomy</w:t>
            </w:r>
          </w:p>
          <w:p>
            <w:pPr>
              <w:pStyle w:val="ListParagraph"/>
              <w:numPr>
                <w:ilvl w:val="0"/>
                <w:numId w:val="2"/>
              </w:numPr>
              <w:spacing w:before="20" w:after="20"/>
            </w:pPr>
            <w:r>
              <w:rPr>
                <w:rFonts w:ascii="Arial" w:cs="Arial" w:eastAsia="Arial" w:hAnsi="Arial"/>
                <w:color w:val="404040"/>
                <w:sz w:val="20"/>
                <w:szCs w:val="20"/>
              </w:rPr>
              <w:t xml:space="preserve">Primary anastomosis is contraindicated in an ischemic field — always divert</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Right colon ischemia</w:t>
            </w:r>
          </w:p>
          <w:p>
            <w:pPr>
              <w:spacing w:before="40"/>
            </w:pPr>
            <w:r>
              <w:rPr>
                <w:rFonts w:ascii="Arial" w:cs="Arial" w:eastAsia="Arial" w:hAnsi="Arial"/>
                <w:i/>
                <w:iCs/>
                <w:color w:val="404040"/>
                <w:sz w:val="20"/>
                <w:szCs w:val="20"/>
              </w:rPr>
              <w:t xml:space="preserve">Flexible sigmoidoscopy is normal but CT shows pneumatosis and thickening of the ascending colon and cecum. What does this mean and how do you manage?</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Right colon ischemia: much more ominous than left colon ischemia — right colon is less well-collateralized</w:t>
            </w:r>
          </w:p>
          <w:p>
            <w:pPr>
              <w:pStyle w:val="ListParagraph"/>
              <w:numPr>
                <w:ilvl w:val="0"/>
                <w:numId w:val="2"/>
              </w:numPr>
              <w:spacing w:before="20" w:after="20"/>
            </w:pPr>
            <w:r>
              <w:rPr>
                <w:rFonts w:ascii="Arial" w:cs="Arial" w:eastAsia="Arial" w:hAnsi="Arial"/>
                <w:color w:val="404040"/>
                <w:sz w:val="20"/>
                <w:szCs w:val="20"/>
              </w:rPr>
              <w:t xml:space="preserve">Right colon ischemia is typically due to a different mechanism: superior mesenteric artery (SMA) embolism or low flow state</w:t>
            </w:r>
          </w:p>
          <w:p>
            <w:pPr>
              <w:pStyle w:val="ListParagraph"/>
              <w:numPr>
                <w:ilvl w:val="0"/>
                <w:numId w:val="2"/>
              </w:numPr>
              <w:spacing w:before="20" w:after="20"/>
            </w:pPr>
            <w:r>
              <w:rPr>
                <w:rFonts w:ascii="Arial" w:cs="Arial" w:eastAsia="Arial" w:hAnsi="Arial"/>
                <w:color w:val="404040"/>
                <w:sz w:val="20"/>
                <w:szCs w:val="20"/>
              </w:rPr>
              <w:t xml:space="preserve">Pneumatosis + right colon thickening = likely transmural ischemia</w:t>
            </w:r>
          </w:p>
          <w:p>
            <w:pPr>
              <w:pStyle w:val="ListParagraph"/>
              <w:numPr>
                <w:ilvl w:val="0"/>
                <w:numId w:val="2"/>
              </w:numPr>
              <w:spacing w:before="20" w:after="20"/>
            </w:pPr>
            <w:r>
              <w:rPr>
                <w:rFonts w:ascii="Arial" w:cs="Arial" w:eastAsia="Arial" w:hAnsi="Arial"/>
                <w:color w:val="404040"/>
                <w:sz w:val="20"/>
                <w:szCs w:val="20"/>
              </w:rPr>
              <w:t xml:space="preserve">Management: emergent OR — right hemicolectomy with ileostomy</w:t>
            </w:r>
          </w:p>
          <w:p>
            <w:pPr>
              <w:pStyle w:val="ListParagraph"/>
              <w:numPr>
                <w:ilvl w:val="0"/>
                <w:numId w:val="2"/>
              </w:numPr>
              <w:spacing w:before="20" w:after="20"/>
            </w:pPr>
            <w:r>
              <w:rPr>
                <w:rFonts w:ascii="Arial" w:cs="Arial" w:eastAsia="Arial" w:hAnsi="Arial"/>
                <w:color w:val="404040"/>
                <w:sz w:val="20"/>
                <w:szCs w:val="20"/>
              </w:rPr>
              <w:t xml:space="preserve">Do NOT attempt primary anastomosis — ischemic bowel in a post-operative field with peritonitis = mandatory diversion</w:t>
            </w:r>
          </w:p>
          <w:p>
            <w:pPr>
              <w:pStyle w:val="ListParagraph"/>
              <w:numPr>
                <w:ilvl w:val="0"/>
                <w:numId w:val="2"/>
              </w:numPr>
              <w:spacing w:before="20" w:after="20"/>
            </w:pPr>
            <w:r>
              <w:rPr>
                <w:rFonts w:ascii="Arial" w:cs="Arial" w:eastAsia="Arial" w:hAnsi="Arial"/>
                <w:color w:val="404040"/>
                <w:sz w:val="20"/>
                <w:szCs w:val="20"/>
              </w:rPr>
              <w:t xml:space="preserve">Also evaluate the remaining small bowel for SMA territory ischemia</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IMA reimplantation decision</w:t>
            </w:r>
          </w:p>
          <w:p>
            <w:pPr>
              <w:spacing w:before="40"/>
            </w:pPr>
            <w:r>
              <w:rPr>
                <w:rFonts w:ascii="Arial" w:cs="Arial" w:eastAsia="Arial" w:hAnsi="Arial"/>
                <w:i/>
                <w:iCs/>
                <w:color w:val="404040"/>
                <w:sz w:val="20"/>
                <w:szCs w:val="20"/>
              </w:rPr>
              <w:t xml:space="preserve">During an elective open EVAR conversion, the IMA appears large and patent (3 mm diameter). Do you reimplant it?</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IMA reimplantation: consider when:</w:t>
            </w:r>
          </w:p>
          <w:p>
            <w:pPr>
              <w:pStyle w:val="ListParagraph"/>
              <w:numPr>
                <w:ilvl w:val="0"/>
                <w:numId w:val="2"/>
              </w:numPr>
              <w:spacing w:before="20" w:after="20"/>
            </w:pPr>
            <w:r>
              <w:rPr>
                <w:rFonts w:ascii="Arial" w:cs="Arial" w:eastAsia="Arial" w:hAnsi="Arial"/>
                <w:color w:val="404040"/>
                <w:sz w:val="20"/>
                <w:szCs w:val="20"/>
              </w:rPr>
              <w:t xml:space="preserve">  Large IMA (&gt;3 mm — dominant IMA with poor collaterals)</w:t>
            </w:r>
          </w:p>
          <w:p>
            <w:pPr>
              <w:pStyle w:val="ListParagraph"/>
              <w:numPr>
                <w:ilvl w:val="0"/>
                <w:numId w:val="2"/>
              </w:numPr>
              <w:spacing w:before="20" w:after="20"/>
            </w:pPr>
            <w:r>
              <w:rPr>
                <w:rFonts w:ascii="Arial" w:cs="Arial" w:eastAsia="Arial" w:hAnsi="Arial"/>
                <w:color w:val="404040"/>
                <w:sz w:val="20"/>
                <w:szCs w:val="20"/>
              </w:rPr>
              <w:t xml:space="preserve">  Stump pressure &lt;40 mmHg (measured intraoperatively after clamping the IMA)</w:t>
            </w:r>
          </w:p>
          <w:p>
            <w:pPr>
              <w:pStyle w:val="ListParagraph"/>
              <w:numPr>
                <w:ilvl w:val="0"/>
                <w:numId w:val="2"/>
              </w:numPr>
              <w:spacing w:before="20" w:after="20"/>
            </w:pPr>
            <w:r>
              <w:rPr>
                <w:rFonts w:ascii="Arial" w:cs="Arial" w:eastAsia="Arial" w:hAnsi="Arial"/>
                <w:color w:val="404040"/>
                <w:sz w:val="20"/>
                <w:szCs w:val="20"/>
              </w:rPr>
              <w:t xml:space="preserve">  Known celiac or SMA disease (compromises collateral flow)</w:t>
            </w:r>
          </w:p>
          <w:p>
            <w:pPr>
              <w:pStyle w:val="ListParagraph"/>
              <w:numPr>
                <w:ilvl w:val="0"/>
                <w:numId w:val="2"/>
              </w:numPr>
              <w:spacing w:before="20" w:after="20"/>
            </w:pPr>
            <w:r>
              <w:rPr>
                <w:rFonts w:ascii="Arial" w:cs="Arial" w:eastAsia="Arial" w:hAnsi="Arial"/>
                <w:color w:val="404040"/>
                <w:sz w:val="20"/>
                <w:szCs w:val="20"/>
              </w:rPr>
              <w:t xml:space="preserve">  Prior left colon surgery (disrupted collateral pathways)</w:t>
            </w:r>
          </w:p>
          <w:p>
            <w:pPr>
              <w:pStyle w:val="ListParagraph"/>
              <w:numPr>
                <w:ilvl w:val="0"/>
                <w:numId w:val="2"/>
              </w:numPr>
              <w:spacing w:before="20" w:after="20"/>
            </w:pPr>
            <w:r>
              <w:rPr>
                <w:rFonts w:ascii="Arial" w:cs="Arial" w:eastAsia="Arial" w:hAnsi="Arial"/>
                <w:color w:val="404040"/>
                <w:sz w:val="20"/>
                <w:szCs w:val="20"/>
              </w:rPr>
              <w:t xml:space="preserve">Assessment tool: IMA stump back-pressure measurement — if &lt;40 mmHg, reimplantation is recommended</w:t>
            </w:r>
          </w:p>
          <w:p>
            <w:pPr>
              <w:pStyle w:val="ListParagraph"/>
              <w:numPr>
                <w:ilvl w:val="0"/>
                <w:numId w:val="2"/>
              </w:numPr>
              <w:spacing w:before="20" w:after="20"/>
            </w:pPr>
            <w:r>
              <w:rPr>
                <w:rFonts w:ascii="Arial" w:cs="Arial" w:eastAsia="Arial" w:hAnsi="Arial"/>
                <w:color w:val="404040"/>
                <w:sz w:val="20"/>
                <w:szCs w:val="20"/>
              </w:rPr>
              <w:t xml:space="preserve">If reimplanting: Carrel patch technique — excise the IMA with a button of aortic wall, reimplant end-to-side into the aortic graft</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Delaying flexible sigmoidoscopy in a patient with suspected post-aortic ischemic colitis — early diagnosis changes management</w:t>
            </w:r>
          </w:p>
          <w:p>
            <w:pPr>
              <w:spacing w:before="40"/>
            </w:pPr>
            <w:r>
              <w:rPr>
                <w:rFonts w:ascii="Arial" w:cs="Arial" w:eastAsia="Arial" w:hAnsi="Arial"/>
                <w:color w:val="C00000"/>
                <w:sz w:val="20"/>
                <w:szCs w:val="20"/>
              </w:rPr>
              <w:t xml:space="preserve">☐  Attempting primary anastomosis in the setting of transmural colonic ischemia — anastomotic leak is nearly certain</w:t>
            </w:r>
          </w:p>
          <w:p>
            <w:pPr>
              <w:spacing w:before="40"/>
            </w:pPr>
            <w:r>
              <w:rPr>
                <w:rFonts w:ascii="Arial" w:cs="Arial" w:eastAsia="Arial" w:hAnsi="Arial"/>
                <w:color w:val="C00000"/>
                <w:sz w:val="20"/>
                <w:szCs w:val="20"/>
              </w:rPr>
              <w:t xml:space="preserve">☐  Not recognizing peritonitis as an indication for immediate OR regardless of sigmoidoscopy grade</w:t>
            </w:r>
          </w:p>
          <w:p>
            <w:pPr>
              <w:spacing w:before="40"/>
            </w:pPr>
            <w:r>
              <w:rPr>
                <w:rFonts w:ascii="Arial" w:cs="Arial" w:eastAsia="Arial" w:hAnsi="Arial"/>
                <w:color w:val="C00000"/>
                <w:sz w:val="20"/>
                <w:szCs w:val="20"/>
              </w:rPr>
              <w:t xml:space="preserve">☐  Failure to recognize right colon ischemia which requires right hemicolectomy</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Post-aortic ischemic colitis: occurs in 2-7% of open aortic repairs. Sigmoid and splenic flexure are at highest risk.</w:t>
            </w:r>
          </w:p>
          <w:p>
            <w:pPr>
              <w:spacing w:before="40"/>
            </w:pPr>
            <w:r>
              <w:rPr>
                <w:rFonts w:ascii="Arial" w:cs="Arial" w:eastAsia="Arial" w:hAnsi="Arial"/>
                <w:color w:val="404040"/>
                <w:sz w:val="20"/>
                <w:szCs w:val="20"/>
              </w:rPr>
              <w:t xml:space="preserve">•  Flexible sigmoidoscopy: gold standard for diagnosis and grading. Perform within 24 hours of clinical suspicion.</w:t>
            </w:r>
          </w:p>
          <w:p>
            <w:pPr>
              <w:spacing w:before="40"/>
            </w:pPr>
            <w:r>
              <w:rPr>
                <w:rFonts w:ascii="Arial" w:cs="Arial" w:eastAsia="Arial" w:hAnsi="Arial"/>
                <w:color w:val="404040"/>
                <w:sz w:val="20"/>
                <w:szCs w:val="20"/>
              </w:rPr>
              <w:t xml:space="preserve">•  Grade I-II: conservative (NPO, antibiotics, serial exams). Grade III/peritonitis: emergent surgery.</w:t>
            </w:r>
          </w:p>
          <w:p>
            <w:pPr>
              <w:spacing w:before="40"/>
            </w:pPr>
            <w:r>
              <w:rPr>
                <w:rFonts w:ascii="Arial" w:cs="Arial" w:eastAsia="Arial" w:hAnsi="Arial"/>
                <w:color w:val="404040"/>
                <w:sz w:val="20"/>
                <w:szCs w:val="20"/>
              </w:rPr>
              <w:t xml:space="preserve">•  Operative management: always divert — never primary anastomosis in ischemic colitis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Becquemin JP et al. Colon ischemia after aortic surgery. J Vasc Surg 2003</w:t>
            </w:r>
          </w:p>
          <w:p>
            <w:pPr>
              <w:spacing w:before="30"/>
            </w:pPr>
            <w:r>
              <w:rPr>
                <w:rFonts w:ascii="Arial" w:cs="Arial" w:eastAsia="Arial" w:hAnsi="Arial"/>
                <w:i/>
                <w:iCs/>
                <w:color w:val="595959"/>
                <w:sz w:val="18"/>
                <w:szCs w:val="18"/>
              </w:rPr>
              <w:t xml:space="preserve">Champagne BJ et al. Colon ischemia following aortic surgery. Dis Colon Rectum 2004</w:t>
            </w:r>
          </w:p>
          <w:p>
            <w:pPr>
              <w:spacing w:before="30"/>
            </w:pPr>
            <w:r>
              <w:rPr>
                <w:rFonts w:ascii="Arial" w:cs="Arial" w:eastAsia="Arial" w:hAnsi="Arial"/>
                <w:i/>
                <w:iCs/>
                <w:color w:val="595959"/>
                <w:sz w:val="18"/>
                <w:szCs w:val="18"/>
              </w:rPr>
              <w:t xml:space="preserve">Hagihara PF et al. Post-aortic reconstruction ischemic colitis. Arch Surg 1979</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Ischemic Colitis — Post-Operative Leak</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Advanced — Colorectal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2026-03-21T21:46:45.322Z</dcterms:created>
  <dcterms:modified xsi:type="dcterms:W3CDTF">2026-03-21T21:46:45.322Z</dcterms:modified>
</cp:coreProperties>
</file>

<file path=docProps/custom.xml><?xml version="1.0" encoding="utf-8"?>
<Properties xmlns="http://schemas.openxmlformats.org/officeDocument/2006/custom-properties" xmlns:vt="http://schemas.openxmlformats.org/officeDocument/2006/docPropsVTypes"/>
</file>