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Pediatric Caustic Esophageal Ingestion</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SCORE</w:t>
            </w:r>
          </w:p>
          <w:p>
            <w:pPr>
              <w:jc w:val="center"/>
            </w:pPr>
            <w:r>
              <w:rPr>
                <w:rFonts w:ascii="Arial" w:cs="Arial" w:eastAsia="Arial" w:hAnsi="Arial"/>
                <w:b/>
                <w:bCs/>
                <w:color w:val="FFFFFF"/>
                <w:sz w:val="18"/>
                <w:szCs w:val="18"/>
              </w:rPr>
              <w:t xml:space="preserve">Advanced</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LEVEL</w:t>
            </w:r>
          </w:p>
          <w:p>
            <w:pPr>
              <w:jc w:val="center"/>
            </w:pPr>
            <w:r>
              <w:rPr>
                <w:rFonts w:ascii="Arial" w:cs="Arial" w:eastAsia="Arial" w:hAnsi="Arial"/>
                <w:b/>
                <w:bCs/>
                <w:color w:val="FFFFFF"/>
                <w:sz w:val="18"/>
                <w:szCs w:val="18"/>
              </w:rPr>
              <w:t xml:space="preserve">PGY 4–5</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DOMAIN</w:t>
            </w:r>
          </w:p>
          <w:p>
            <w:pPr>
              <w:jc w:val="center"/>
            </w:pPr>
            <w:r>
              <w:rPr>
                <w:rFonts w:ascii="Arial" w:cs="Arial" w:eastAsia="Arial" w:hAnsi="Arial"/>
                <w:b/>
                <w:bCs/>
                <w:color w:val="FFFFFF"/>
                <w:sz w:val="15"/>
                <w:szCs w:val="15"/>
              </w:rPr>
              <w:t xml:space="preserve">Pediatric Surgery</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PATIENT STEM — Read aloud to candidate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6E4F0" w:val="clear"/>
            <w:tcMar>
              <w:top w:type="dxa" w:w="100"/>
              <w:left w:type="dxa" w:w="160"/>
              <w:bottom w:type="dxa" w:w="100"/>
              <w:right w:type="dxa" w:w="160"/>
            </w:tcMar>
          </w:tcPr>
          <w:p>
            <w:r>
              <w:rPr>
                <w:rFonts w:ascii="Arial" w:cs="Arial" w:eastAsia="Arial" w:hAnsi="Arial"/>
                <w:color w:val="404040"/>
                <w:sz w:val="22"/>
                <w:szCs w:val="22"/>
              </w:rPr>
              <w:t xml:space="preserve">You are called to the ED to evaluate an 8-year-old child who accidentally ingested a strong alkali solution (household drain cleaner). He is alert but in distress with oropharyngeal burns visible. He is drooling and cannot swallow. No stridor at this time.</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595959" w:val="clear"/>
            <w:tcMar>
              <w:top w:type="dxa" w:w="60"/>
              <w:left w:type="dxa" w:w="120"/>
              <w:bottom w:type="dxa" w:w="60"/>
              <w:right w:type="dxa" w:w="120"/>
            </w:tcMar>
          </w:tcPr>
          <w:p>
            <w:r>
              <w:rPr>
                <w:rFonts w:ascii="Arial" w:cs="Arial" w:eastAsia="Arial" w:hAnsi="Arial"/>
                <w:b/>
                <w:bCs/>
                <w:color w:val="FFFFFF"/>
                <w:sz w:val="20"/>
                <w:szCs w:val="20"/>
              </w:rPr>
              <w:t xml:space="preserve">EXAMINER INSTRUCTIONS</w:t>
            </w:r>
          </w:p>
        </w:tc>
      </w:tr>
    </w:tbl>
    <w:p>
      <w:pPr>
        <w:spacing w:before="40" w:after="80"/>
      </w:pPr>
      <w:r>
        <w:rPr>
          <w:rFonts w:ascii="Arial" w:cs="Arial" w:eastAsia="Arial" w:hAnsi="Arial"/>
          <w:i/>
          <w:iCs/>
          <w:color w:val="404040"/>
          <w:sz w:val="20"/>
          <w:szCs w:val="20"/>
        </w:rPr>
        <w:t xml:space="preserve">This case tests the acute management algorithm for caustic ingestion, the role and timing of esophagoscopy, and the management of stricture complications. The candidate must know why steroids are NOT used and why esophagoscopy timing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CLINICAL QUESTIONS &amp; EXPECTED RESPONSES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is unique about alkali vs acid ingestion?</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Alkali (lye, drain cleaner, bleach): causes liquefactive necrosis — worse penetration, more severe</w:t>
            </w:r>
          </w:p>
          <w:p>
            <w:pPr>
              <w:pStyle w:val="ListParagraph"/>
              <w:numPr>
                <w:ilvl w:val="0"/>
                <w:numId w:val="2"/>
              </w:numPr>
              <w:spacing w:before="20" w:after="20"/>
            </w:pPr>
            <w:r>
              <w:rPr>
                <w:rFonts w:ascii="Arial" w:cs="Arial" w:eastAsia="Arial" w:hAnsi="Arial"/>
                <w:color w:val="404040"/>
                <w:sz w:val="20"/>
                <w:szCs w:val="20"/>
              </w:rPr>
              <w:t xml:space="preserve">  Reflex antral/pyloric spasm → alkali pools in stomach and refluxes → esophageal and gastric injury</w:t>
            </w:r>
          </w:p>
          <w:p>
            <w:pPr>
              <w:pStyle w:val="ListParagraph"/>
              <w:numPr>
                <w:ilvl w:val="0"/>
                <w:numId w:val="2"/>
              </w:numPr>
              <w:spacing w:before="20" w:after="20"/>
            </w:pPr>
            <w:r>
              <w:rPr>
                <w:rFonts w:ascii="Arial" w:cs="Arial" w:eastAsia="Arial" w:hAnsi="Arial"/>
                <w:color w:val="404040"/>
                <w:sz w:val="20"/>
                <w:szCs w:val="20"/>
              </w:rPr>
              <w:t xml:space="preserve">  Minimal oropharyngeal injury can coexist with severe esophageal damage (no correlation)</w:t>
            </w:r>
          </w:p>
          <w:p>
            <w:pPr>
              <w:pStyle w:val="ListParagraph"/>
              <w:numPr>
                <w:ilvl w:val="0"/>
                <w:numId w:val="2"/>
              </w:numPr>
              <w:spacing w:before="20" w:after="20"/>
            </w:pPr>
            <w:r>
              <w:rPr>
                <w:rFonts w:ascii="Arial" w:cs="Arial" w:eastAsia="Arial" w:hAnsi="Arial"/>
                <w:color w:val="404040"/>
                <w:sz w:val="20"/>
                <w:szCs w:val="20"/>
              </w:rPr>
              <w:t xml:space="preserve">  Liquid alkali distributes more widely than solid — greater esophageal contact</w:t>
            </w:r>
          </w:p>
          <w:p>
            <w:pPr>
              <w:pStyle w:val="ListParagraph"/>
              <w:numPr>
                <w:ilvl w:val="0"/>
                <w:numId w:val="2"/>
              </w:numPr>
              <w:spacing w:before="20" w:after="20"/>
            </w:pPr>
            <w:r>
              <w:rPr>
                <w:rFonts w:ascii="Arial" w:cs="Arial" w:eastAsia="Arial" w:hAnsi="Arial"/>
                <w:color w:val="404040"/>
                <w:sz w:val="20"/>
                <w:szCs w:val="20"/>
              </w:rPr>
              <w:t xml:space="preserve">Acid: coagulative necrosis — forms eschar that limits penetration (relative protection)</w:t>
            </w:r>
          </w:p>
          <w:p>
            <w:pPr>
              <w:pStyle w:val="ListParagraph"/>
              <w:numPr>
                <w:ilvl w:val="0"/>
                <w:numId w:val="2"/>
              </w:numPr>
              <w:spacing w:before="20" w:after="20"/>
            </w:pPr>
            <w:r>
              <w:rPr>
                <w:rFonts w:ascii="Arial" w:cs="Arial" w:eastAsia="Arial" w:hAnsi="Arial"/>
                <w:color w:val="404040"/>
                <w:sz w:val="20"/>
                <w:szCs w:val="20"/>
              </w:rPr>
              <w:t xml:space="preserve">  More commonly causes gastric injury (pools at pylorus)</w:t>
            </w:r>
          </w:p>
          <w:p>
            <w:pPr>
              <w:pStyle w:val="ListParagraph"/>
              <w:numPr>
                <w:ilvl w:val="0"/>
                <w:numId w:val="2"/>
              </w:numPr>
              <w:spacing w:before="20" w:after="20"/>
            </w:pPr>
            <w:r>
              <w:rPr>
                <w:rFonts w:ascii="Arial" w:cs="Arial" w:eastAsia="Arial" w:hAnsi="Arial"/>
                <w:color w:val="404040"/>
                <w:sz w:val="20"/>
                <w:szCs w:val="20"/>
              </w:rPr>
              <w:t xml:space="preserve">Both can cause perforation, stricture, and long-term malignancy risk</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is your immediate management in the ED?</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Airway: look for stridor, hoarseness, laryngeal edema — intubate immediately if airway compromise</w:t>
            </w:r>
          </w:p>
          <w:p>
            <w:pPr>
              <w:pStyle w:val="ListParagraph"/>
              <w:numPr>
                <w:ilvl w:val="0"/>
                <w:numId w:val="2"/>
              </w:numPr>
              <w:spacing w:before="20" w:after="20"/>
            </w:pPr>
            <w:r>
              <w:rPr>
                <w:rFonts w:ascii="Arial" w:cs="Arial" w:eastAsia="Arial" w:hAnsi="Arial"/>
                <w:color w:val="404040"/>
                <w:sz w:val="20"/>
                <w:szCs w:val="20"/>
              </w:rPr>
              <w:t xml:space="preserve">Breathing: supplemental O2</w:t>
            </w:r>
          </w:p>
          <w:p>
            <w:pPr>
              <w:pStyle w:val="ListParagraph"/>
              <w:numPr>
                <w:ilvl w:val="0"/>
                <w:numId w:val="2"/>
              </w:numPr>
              <w:spacing w:before="20" w:after="20"/>
            </w:pPr>
            <w:r>
              <w:rPr>
                <w:rFonts w:ascii="Arial" w:cs="Arial" w:eastAsia="Arial" w:hAnsi="Arial"/>
                <w:color w:val="404040"/>
                <w:sz w:val="20"/>
                <w:szCs w:val="20"/>
              </w:rPr>
              <w:t xml:space="preserve">IV access, IV fluids, keep NPO</w:t>
            </w:r>
          </w:p>
          <w:p>
            <w:pPr>
              <w:pStyle w:val="ListParagraph"/>
              <w:numPr>
                <w:ilvl w:val="0"/>
                <w:numId w:val="2"/>
              </w:numPr>
              <w:spacing w:before="20" w:after="20"/>
            </w:pPr>
            <w:r>
              <w:rPr>
                <w:rFonts w:ascii="Arial" w:cs="Arial" w:eastAsia="Arial" w:hAnsi="Arial"/>
                <w:color w:val="404040"/>
                <w:sz w:val="20"/>
                <w:szCs w:val="20"/>
              </w:rPr>
              <w:t xml:space="preserve">Broad-spectrum antibiotics: prevent infection from damaged esophageal wall and aspiration</w:t>
            </w:r>
          </w:p>
          <w:p>
            <w:pPr>
              <w:pStyle w:val="ListParagraph"/>
              <w:numPr>
                <w:ilvl w:val="0"/>
                <w:numId w:val="2"/>
              </w:numPr>
              <w:spacing w:before="20" w:after="20"/>
            </w:pPr>
            <w:r>
              <w:rPr>
                <w:rFonts w:ascii="Arial" w:cs="Arial" w:eastAsia="Arial" w:hAnsi="Arial"/>
                <w:color w:val="404040"/>
                <w:sz w:val="20"/>
                <w:szCs w:val="20"/>
              </w:rPr>
              <w:t xml:space="preserve">Steroids (prednisone): historically used — DO NOT USE; efficacy not established, and steroids mask signs of sepsis and impair healing</w:t>
            </w:r>
          </w:p>
          <w:p>
            <w:pPr>
              <w:pStyle w:val="ListParagraph"/>
              <w:numPr>
                <w:ilvl w:val="0"/>
                <w:numId w:val="2"/>
              </w:numPr>
              <w:spacing w:before="20" w:after="20"/>
            </w:pPr>
            <w:r>
              <w:rPr>
                <w:rFonts w:ascii="Arial" w:cs="Arial" w:eastAsia="Arial" w:hAnsi="Arial"/>
                <w:color w:val="404040"/>
                <w:sz w:val="20"/>
                <w:szCs w:val="20"/>
              </w:rPr>
              <w:t xml:space="preserve">Do NOT induce vomiting — re-exposure of esophagus and oropharynx to caustic agent</w:t>
            </w:r>
          </w:p>
          <w:p>
            <w:pPr>
              <w:pStyle w:val="ListParagraph"/>
              <w:numPr>
                <w:ilvl w:val="0"/>
                <w:numId w:val="2"/>
              </w:numPr>
              <w:spacing w:before="20" w:after="20"/>
            </w:pPr>
            <w:r>
              <w:rPr>
                <w:rFonts w:ascii="Arial" w:cs="Arial" w:eastAsia="Arial" w:hAnsi="Arial"/>
                <w:color w:val="404040"/>
                <w:sz w:val="20"/>
                <w:szCs w:val="20"/>
              </w:rPr>
              <w:t xml:space="preserve">Do NOT neutralize with acid/base (exothermic reaction causes thermal injury)</w:t>
            </w:r>
          </w:p>
          <w:p>
            <w:pPr>
              <w:pStyle w:val="ListParagraph"/>
              <w:numPr>
                <w:ilvl w:val="0"/>
                <w:numId w:val="2"/>
              </w:numPr>
              <w:spacing w:before="20" w:after="20"/>
            </w:pPr>
            <w:r>
              <w:rPr>
                <w:rFonts w:ascii="Arial" w:cs="Arial" w:eastAsia="Arial" w:hAnsi="Arial"/>
                <w:color w:val="404040"/>
                <w:sz w:val="20"/>
                <w:szCs w:val="20"/>
              </w:rPr>
              <w:t xml:space="preserve">Do NOT use NGT or nasogastric decompression early — perforation risk</w:t>
            </w:r>
          </w:p>
          <w:p>
            <w:pPr>
              <w:pStyle w:val="ListParagraph"/>
              <w:numPr>
                <w:ilvl w:val="0"/>
                <w:numId w:val="2"/>
              </w:numPr>
              <w:spacing w:before="20" w:after="20"/>
            </w:pPr>
            <w:r>
              <w:rPr>
                <w:rFonts w:ascii="Arial" w:cs="Arial" w:eastAsia="Arial" w:hAnsi="Arial"/>
                <w:color w:val="404040"/>
                <w:sz w:val="20"/>
                <w:szCs w:val="20"/>
              </w:rPr>
              <w:t xml:space="preserve">CXR and abdominal X-ray: assess for mediastinal widening, free air (perforation), pleural effusion</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Steroids are NOT recommended despite historical use. This is a testable key point on oral boards.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is the timing and role of esophagoscopy?</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Upper endoscopy (rigid or flexible): performed within 12–24 hours of ingestion</w:t>
            </w:r>
          </w:p>
          <w:p>
            <w:pPr>
              <w:pStyle w:val="ListParagraph"/>
              <w:numPr>
                <w:ilvl w:val="0"/>
                <w:numId w:val="2"/>
              </w:numPr>
              <w:spacing w:before="20" w:after="20"/>
            </w:pPr>
            <w:r>
              <w:rPr>
                <w:rFonts w:ascii="Arial" w:cs="Arial" w:eastAsia="Arial" w:hAnsi="Arial"/>
                <w:color w:val="404040"/>
                <w:sz w:val="20"/>
                <w:szCs w:val="20"/>
              </w:rPr>
              <w:t xml:space="preserve">Goals: determine severity of mucosal injury, guide management</w:t>
            </w:r>
          </w:p>
          <w:p>
            <w:pPr>
              <w:pStyle w:val="ListParagraph"/>
              <w:numPr>
                <w:ilvl w:val="0"/>
                <w:numId w:val="2"/>
              </w:numPr>
              <w:spacing w:before="20" w:after="20"/>
            </w:pPr>
            <w:r>
              <w:rPr>
                <w:rFonts w:ascii="Arial" w:cs="Arial" w:eastAsia="Arial" w:hAnsi="Arial"/>
                <w:color w:val="404040"/>
                <w:sz w:val="20"/>
                <w:szCs w:val="20"/>
              </w:rPr>
              <w:t xml:space="preserve">Timing:</w:t>
            </w:r>
          </w:p>
          <w:p>
            <w:pPr>
              <w:pStyle w:val="ListParagraph"/>
              <w:numPr>
                <w:ilvl w:val="0"/>
                <w:numId w:val="2"/>
              </w:numPr>
              <w:spacing w:before="20" w:after="20"/>
            </w:pPr>
            <w:r>
              <w:rPr>
                <w:rFonts w:ascii="Arial" w:cs="Arial" w:eastAsia="Arial" w:hAnsi="Arial"/>
                <w:color w:val="404040"/>
                <w:sz w:val="20"/>
                <w:szCs w:val="20"/>
              </w:rPr>
              <w:t xml:space="preserve">  &lt;12 hours: safest window</w:t>
            </w:r>
          </w:p>
          <w:p>
            <w:pPr>
              <w:pStyle w:val="ListParagraph"/>
              <w:numPr>
                <w:ilvl w:val="0"/>
                <w:numId w:val="2"/>
              </w:numPr>
              <w:spacing w:before="20" w:after="20"/>
            </w:pPr>
            <w:r>
              <w:rPr>
                <w:rFonts w:ascii="Arial" w:cs="Arial" w:eastAsia="Arial" w:hAnsi="Arial"/>
                <w:color w:val="404040"/>
                <w:sz w:val="20"/>
                <w:szCs w:val="20"/>
              </w:rPr>
              <w:t xml:space="preserve">  12–24 hours: acceptable</w:t>
            </w:r>
          </w:p>
          <w:p>
            <w:pPr>
              <w:pStyle w:val="ListParagraph"/>
              <w:numPr>
                <w:ilvl w:val="0"/>
                <w:numId w:val="2"/>
              </w:numPr>
              <w:spacing w:before="20" w:after="20"/>
            </w:pPr>
            <w:r>
              <w:rPr>
                <w:rFonts w:ascii="Arial" w:cs="Arial" w:eastAsia="Arial" w:hAnsi="Arial"/>
                <w:color w:val="404040"/>
                <w:sz w:val="20"/>
                <w:szCs w:val="20"/>
              </w:rPr>
              <w:t xml:space="preserve">  DO NOT perform after 48 hours in the acute phase: risk of perforation peaks at 5–15 days (tissue softening — avoid in this window)</w:t>
            </w:r>
          </w:p>
          <w:p>
            <w:pPr>
              <w:pStyle w:val="ListParagraph"/>
              <w:numPr>
                <w:ilvl w:val="0"/>
                <w:numId w:val="2"/>
              </w:numPr>
              <w:spacing w:before="20" w:after="20"/>
            </w:pPr>
            <w:r>
              <w:rPr>
                <w:rFonts w:ascii="Arial" w:cs="Arial" w:eastAsia="Arial" w:hAnsi="Arial"/>
                <w:color w:val="404040"/>
                <w:sz w:val="20"/>
                <w:szCs w:val="20"/>
              </w:rPr>
              <w:t xml:space="preserve">  Re-scope after 3 weeks when tissue has stabilized if stricture assessment is needed</w:t>
            </w:r>
          </w:p>
          <w:p>
            <w:pPr>
              <w:pStyle w:val="ListParagraph"/>
              <w:numPr>
                <w:ilvl w:val="0"/>
                <w:numId w:val="2"/>
              </w:numPr>
              <w:spacing w:before="20" w:after="20"/>
            </w:pPr>
            <w:r>
              <w:rPr>
                <w:rFonts w:ascii="Arial" w:cs="Arial" w:eastAsia="Arial" w:hAnsi="Arial"/>
                <w:color w:val="404040"/>
                <w:sz w:val="20"/>
                <w:szCs w:val="20"/>
              </w:rPr>
              <w:t xml:space="preserve">Grading of injury (Zargar classification):</w:t>
            </w:r>
          </w:p>
          <w:p>
            <w:pPr>
              <w:pStyle w:val="ListParagraph"/>
              <w:numPr>
                <w:ilvl w:val="0"/>
                <w:numId w:val="2"/>
              </w:numPr>
              <w:spacing w:before="20" w:after="20"/>
            </w:pPr>
            <w:r>
              <w:rPr>
                <w:rFonts w:ascii="Arial" w:cs="Arial" w:eastAsia="Arial" w:hAnsi="Arial"/>
                <w:color w:val="404040"/>
                <w:sz w:val="20"/>
                <w:szCs w:val="20"/>
              </w:rPr>
              <w:t xml:space="preserve">  Grade 0: normal</w:t>
            </w:r>
          </w:p>
          <w:p>
            <w:pPr>
              <w:pStyle w:val="ListParagraph"/>
              <w:numPr>
                <w:ilvl w:val="0"/>
                <w:numId w:val="2"/>
              </w:numPr>
              <w:spacing w:before="20" w:after="20"/>
            </w:pPr>
            <w:r>
              <w:rPr>
                <w:rFonts w:ascii="Arial" w:cs="Arial" w:eastAsia="Arial" w:hAnsi="Arial"/>
                <w:color w:val="404040"/>
                <w:sz w:val="20"/>
                <w:szCs w:val="20"/>
              </w:rPr>
              <w:t xml:space="preserve">  Grade 1: mucosal edema/hyperemia</w:t>
            </w:r>
          </w:p>
          <w:p>
            <w:pPr>
              <w:pStyle w:val="ListParagraph"/>
              <w:numPr>
                <w:ilvl w:val="0"/>
                <w:numId w:val="2"/>
              </w:numPr>
              <w:spacing w:before="20" w:after="20"/>
            </w:pPr>
            <w:r>
              <w:rPr>
                <w:rFonts w:ascii="Arial" w:cs="Arial" w:eastAsia="Arial" w:hAnsi="Arial"/>
                <w:color w:val="404040"/>
                <w:sz w:val="20"/>
                <w:szCs w:val="20"/>
              </w:rPr>
              <w:t xml:space="preserve">  Grade 2a: superficial ulceration, blisters</w:t>
            </w:r>
          </w:p>
          <w:p>
            <w:pPr>
              <w:pStyle w:val="ListParagraph"/>
              <w:numPr>
                <w:ilvl w:val="0"/>
                <w:numId w:val="2"/>
              </w:numPr>
              <w:spacing w:before="20" w:after="20"/>
            </w:pPr>
            <w:r>
              <w:rPr>
                <w:rFonts w:ascii="Arial" w:cs="Arial" w:eastAsia="Arial" w:hAnsi="Arial"/>
                <w:color w:val="404040"/>
                <w:sz w:val="20"/>
                <w:szCs w:val="20"/>
              </w:rPr>
              <w:t xml:space="preserve">  Grade 2b: deep circumferential ulceration</w:t>
            </w:r>
          </w:p>
          <w:p>
            <w:pPr>
              <w:pStyle w:val="ListParagraph"/>
              <w:numPr>
                <w:ilvl w:val="0"/>
                <w:numId w:val="2"/>
              </w:numPr>
              <w:spacing w:before="20" w:after="20"/>
            </w:pPr>
            <w:r>
              <w:rPr>
                <w:rFonts w:ascii="Arial" w:cs="Arial" w:eastAsia="Arial" w:hAnsi="Arial"/>
                <w:color w:val="404040"/>
                <w:sz w:val="20"/>
                <w:szCs w:val="20"/>
              </w:rPr>
              <w:t xml:space="preserve">  Grade 3a: deep ulceration with necrotic areas</w:t>
            </w:r>
          </w:p>
          <w:p>
            <w:pPr>
              <w:pStyle w:val="ListParagraph"/>
              <w:numPr>
                <w:ilvl w:val="0"/>
                <w:numId w:val="2"/>
              </w:numPr>
              <w:spacing w:before="20" w:after="20"/>
            </w:pPr>
            <w:r>
              <w:rPr>
                <w:rFonts w:ascii="Arial" w:cs="Arial" w:eastAsia="Arial" w:hAnsi="Arial"/>
                <w:color w:val="404040"/>
                <w:sz w:val="20"/>
                <w:szCs w:val="20"/>
              </w:rPr>
              <w:t xml:space="preserve">  Grade 3b: extensive transmural necrosis (most severe — perforation risk, consider resection)</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Avoid esophagoscopy between 5–15 days — the tissue is softest at this point (liquefaction phase) and perforation risk is highest.</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Q4</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Esophagoscopy shows Grade 2b injury (deep circumferential ulceration). No perforation. What is your management plan?</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Grade 2b: high risk for stricture formation (&gt;70%)</w:t>
            </w:r>
          </w:p>
          <w:p>
            <w:pPr>
              <w:pStyle w:val="ListParagraph"/>
              <w:numPr>
                <w:ilvl w:val="0"/>
                <w:numId w:val="2"/>
              </w:numPr>
              <w:spacing w:before="20" w:after="20"/>
            </w:pPr>
            <w:r>
              <w:rPr>
                <w:rFonts w:ascii="Arial" w:cs="Arial" w:eastAsia="Arial" w:hAnsi="Arial"/>
                <w:color w:val="404040"/>
                <w:sz w:val="20"/>
                <w:szCs w:val="20"/>
              </w:rPr>
              <w:t xml:space="preserve">NPO, TPN (or jejunostomy for enteral access), IV antibiotics</w:t>
            </w:r>
          </w:p>
          <w:p>
            <w:pPr>
              <w:pStyle w:val="ListParagraph"/>
              <w:numPr>
                <w:ilvl w:val="0"/>
                <w:numId w:val="2"/>
              </w:numPr>
              <w:spacing w:before="20" w:after="20"/>
            </w:pPr>
            <w:r>
              <w:rPr>
                <w:rFonts w:ascii="Arial" w:cs="Arial" w:eastAsia="Arial" w:hAnsi="Arial"/>
                <w:color w:val="404040"/>
                <w:sz w:val="20"/>
                <w:szCs w:val="20"/>
              </w:rPr>
              <w:t xml:space="preserve">Serial surveillance esophagoscopy as healing occurs</w:t>
            </w:r>
          </w:p>
          <w:p>
            <w:pPr>
              <w:pStyle w:val="ListParagraph"/>
              <w:numPr>
                <w:ilvl w:val="0"/>
                <w:numId w:val="2"/>
              </w:numPr>
              <w:spacing w:before="20" w:after="20"/>
            </w:pPr>
            <w:r>
              <w:rPr>
                <w:rFonts w:ascii="Arial" w:cs="Arial" w:eastAsia="Arial" w:hAnsi="Arial"/>
                <w:color w:val="404040"/>
                <w:sz w:val="20"/>
                <w:szCs w:val="20"/>
              </w:rPr>
              <w:t xml:space="preserve">Stricture management (when it develops — typically 3–6 weeks post-injury):</w:t>
            </w:r>
          </w:p>
          <w:p>
            <w:pPr>
              <w:pStyle w:val="ListParagraph"/>
              <w:numPr>
                <w:ilvl w:val="0"/>
                <w:numId w:val="2"/>
              </w:numPr>
              <w:spacing w:before="20" w:after="20"/>
            </w:pPr>
            <w:r>
              <w:rPr>
                <w:rFonts w:ascii="Arial" w:cs="Arial" w:eastAsia="Arial" w:hAnsi="Arial"/>
                <w:color w:val="404040"/>
                <w:sz w:val="20"/>
                <w:szCs w:val="20"/>
              </w:rPr>
              <w:t xml:space="preserve">  Esophageal dilation: first-line treatment for established strictures</w:t>
            </w:r>
          </w:p>
          <w:p>
            <w:pPr>
              <w:pStyle w:val="ListParagraph"/>
              <w:numPr>
                <w:ilvl w:val="0"/>
                <w:numId w:val="2"/>
              </w:numPr>
              <w:spacing w:before="20" w:after="20"/>
            </w:pPr>
            <w:r>
              <w:rPr>
                <w:rFonts w:ascii="Arial" w:cs="Arial" w:eastAsia="Arial" w:hAnsi="Arial"/>
                <w:color w:val="404040"/>
                <w:sz w:val="20"/>
                <w:szCs w:val="20"/>
              </w:rPr>
              <w:t xml:space="preserve">  Technique: fluoroscopy-guided or endoscopy-guided bougie dilation</w:t>
            </w:r>
          </w:p>
          <w:p>
            <w:pPr>
              <w:pStyle w:val="ListParagraph"/>
              <w:numPr>
                <w:ilvl w:val="0"/>
                <w:numId w:val="2"/>
              </w:numPr>
              <w:spacing w:before="20" w:after="20"/>
            </w:pPr>
            <w:r>
              <w:rPr>
                <w:rFonts w:ascii="Arial" w:cs="Arial" w:eastAsia="Arial" w:hAnsi="Arial"/>
                <w:color w:val="404040"/>
                <w:sz w:val="20"/>
                <w:szCs w:val="20"/>
              </w:rPr>
              <w:t xml:space="preserve">  Start gently, gradual progression — perforation risk with aggressive dilation</w:t>
            </w:r>
          </w:p>
          <w:p>
            <w:pPr>
              <w:pStyle w:val="ListParagraph"/>
              <w:numPr>
                <w:ilvl w:val="0"/>
                <w:numId w:val="2"/>
              </w:numPr>
              <w:spacing w:before="20" w:after="20"/>
            </w:pPr>
            <w:r>
              <w:rPr>
                <w:rFonts w:ascii="Arial" w:cs="Arial" w:eastAsia="Arial" w:hAnsi="Arial"/>
                <w:color w:val="404040"/>
                <w:sz w:val="20"/>
                <w:szCs w:val="20"/>
              </w:rPr>
              <w:t xml:space="preserve">  Multiple dilations over months typically required</w:t>
            </w:r>
          </w:p>
          <w:p>
            <w:pPr>
              <w:pStyle w:val="ListParagraph"/>
              <w:numPr>
                <w:ilvl w:val="0"/>
                <w:numId w:val="2"/>
              </w:numPr>
              <w:spacing w:before="20" w:after="20"/>
            </w:pPr>
            <w:r>
              <w:rPr>
                <w:rFonts w:ascii="Arial" w:cs="Arial" w:eastAsia="Arial" w:hAnsi="Arial"/>
                <w:color w:val="404040"/>
                <w:sz w:val="20"/>
                <w:szCs w:val="20"/>
              </w:rPr>
              <w:t xml:space="preserve">Grade 3b (transmural necrosis/perforation): urgent esophagectomy + jejunostomy + delayed reconstruction</w:t>
            </w:r>
          </w:p>
          <w:p>
            <w:pPr>
              <w:pStyle w:val="ListParagraph"/>
              <w:numPr>
                <w:ilvl w:val="0"/>
                <w:numId w:val="2"/>
              </w:numPr>
              <w:spacing w:before="20" w:after="20"/>
            </w:pPr>
            <w:r>
              <w:rPr>
                <w:rFonts w:ascii="Arial" w:cs="Arial" w:eastAsia="Arial" w:hAnsi="Arial"/>
                <w:color w:val="404040"/>
                <w:sz w:val="20"/>
                <w:szCs w:val="20"/>
              </w:rPr>
              <w:t xml:space="preserve">Esophageal replacement after caustic injury: gastric pull-up, colon interposition, or free jejunal graft</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60"/>
              <w:left w:type="dxa" w:w="120"/>
              <w:bottom w:type="dxa" w:w="60"/>
              <w:right w:type="dxa" w:w="120"/>
            </w:tcMar>
          </w:tcPr>
          <w:p>
            <w:r>
              <w:rPr>
                <w:rFonts w:ascii="Arial" w:cs="Arial" w:eastAsia="Arial" w:hAnsi="Arial"/>
                <w:b/>
                <w:bCs/>
                <w:color w:val="FFFFFF"/>
                <w:sz w:val="20"/>
                <w:szCs w:val="20"/>
              </w:rPr>
              <w:t xml:space="preserve">EVOLUTIONS — Examiner-directed scenario pivots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1  </w:t>
            </w:r>
            <w:r>
              <w:rPr>
                <w:rFonts w:ascii="Arial" w:cs="Arial" w:eastAsia="Arial" w:hAnsi="Arial"/>
                <w:b/>
                <w:bCs/>
                <w:color w:val="404040"/>
                <w:sz w:val="20"/>
                <w:szCs w:val="20"/>
              </w:rPr>
              <w:t xml:space="preserve">Esophageal perforation from caustic injury</w:t>
            </w:r>
          </w:p>
          <w:p>
            <w:pPr>
              <w:spacing w:before="40"/>
            </w:pPr>
            <w:r>
              <w:rPr>
                <w:rFonts w:ascii="Arial" w:cs="Arial" w:eastAsia="Arial" w:hAnsi="Arial"/>
                <w:i/>
                <w:iCs/>
                <w:color w:val="404040"/>
                <w:sz w:val="20"/>
                <w:szCs w:val="20"/>
              </w:rPr>
              <w:t xml:space="preserve">At esophagoscopy (20 hours post-ingestion), you see areas of full-thickness necrosis with mediastinal air seen on fluoroscopy. How do you manage?</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Perforation from caustic injury: surgical emergency</w:t>
            </w:r>
          </w:p>
          <w:p>
            <w:pPr>
              <w:pStyle w:val="ListParagraph"/>
              <w:numPr>
                <w:ilvl w:val="0"/>
                <w:numId w:val="2"/>
              </w:numPr>
              <w:spacing w:before="20" w:after="20"/>
            </w:pPr>
            <w:r>
              <w:rPr>
                <w:rFonts w:ascii="Arial" w:cs="Arial" w:eastAsia="Arial" w:hAnsi="Arial"/>
                <w:color w:val="404040"/>
                <w:sz w:val="20"/>
                <w:szCs w:val="20"/>
              </w:rPr>
              <w:t xml:space="preserve">Immediately: broad-spectrum antibiotics, IV fluids, NPO, ICU</w:t>
            </w:r>
          </w:p>
          <w:p>
            <w:pPr>
              <w:pStyle w:val="ListParagraph"/>
              <w:numPr>
                <w:ilvl w:val="0"/>
                <w:numId w:val="2"/>
              </w:numPr>
              <w:spacing w:before="20" w:after="20"/>
            </w:pPr>
            <w:r>
              <w:rPr>
                <w:rFonts w:ascii="Arial" w:cs="Arial" w:eastAsia="Arial" w:hAnsi="Arial"/>
                <w:color w:val="404040"/>
                <w:sz w:val="20"/>
                <w:szCs w:val="20"/>
              </w:rPr>
              <w:t xml:space="preserve">If necrosis is limited and patient stable: esophageal diversion + drainage</w:t>
            </w:r>
          </w:p>
          <w:p>
            <w:pPr>
              <w:pStyle w:val="ListParagraph"/>
              <w:numPr>
                <w:ilvl w:val="0"/>
                <w:numId w:val="2"/>
              </w:numPr>
              <w:spacing w:before="20" w:after="20"/>
            </w:pPr>
            <w:r>
              <w:rPr>
                <w:rFonts w:ascii="Arial" w:cs="Arial" w:eastAsia="Arial" w:hAnsi="Arial"/>
                <w:color w:val="404040"/>
                <w:sz w:val="20"/>
                <w:szCs w:val="20"/>
              </w:rPr>
              <w:t xml:space="preserve">Full transmural necrosis: esophagectomy</w:t>
            </w:r>
          </w:p>
          <w:p>
            <w:pPr>
              <w:pStyle w:val="ListParagraph"/>
              <w:numPr>
                <w:ilvl w:val="0"/>
                <w:numId w:val="2"/>
              </w:numPr>
              <w:spacing w:before="20" w:after="20"/>
            </w:pPr>
            <w:r>
              <w:rPr>
                <w:rFonts w:ascii="Arial" w:cs="Arial" w:eastAsia="Arial" w:hAnsi="Arial"/>
                <w:color w:val="404040"/>
                <w:sz w:val="20"/>
                <w:szCs w:val="20"/>
              </w:rPr>
              <w:t xml:space="preserve">  Cervical esophagostomy (spit fistula)</w:t>
            </w:r>
          </w:p>
          <w:p>
            <w:pPr>
              <w:pStyle w:val="ListParagraph"/>
              <w:numPr>
                <w:ilvl w:val="0"/>
                <w:numId w:val="2"/>
              </w:numPr>
              <w:spacing w:before="20" w:after="20"/>
            </w:pPr>
            <w:r>
              <w:rPr>
                <w:rFonts w:ascii="Arial" w:cs="Arial" w:eastAsia="Arial" w:hAnsi="Arial"/>
                <w:color w:val="404040"/>
                <w:sz w:val="20"/>
                <w:szCs w:val="20"/>
              </w:rPr>
              <w:t xml:space="preserve">  Gastrostomy for enteral access</w:t>
            </w:r>
          </w:p>
          <w:p>
            <w:pPr>
              <w:pStyle w:val="ListParagraph"/>
              <w:numPr>
                <w:ilvl w:val="0"/>
                <w:numId w:val="2"/>
              </w:numPr>
              <w:spacing w:before="20" w:after="20"/>
            </w:pPr>
            <w:r>
              <w:rPr>
                <w:rFonts w:ascii="Arial" w:cs="Arial" w:eastAsia="Arial" w:hAnsi="Arial"/>
                <w:color w:val="404040"/>
                <w:sz w:val="20"/>
                <w:szCs w:val="20"/>
              </w:rPr>
              <w:t xml:space="preserve">  Wide mediastinal drainage</w:t>
            </w:r>
          </w:p>
          <w:p>
            <w:pPr>
              <w:pStyle w:val="ListParagraph"/>
              <w:numPr>
                <w:ilvl w:val="0"/>
                <w:numId w:val="2"/>
              </w:numPr>
              <w:spacing w:before="20" w:after="20"/>
            </w:pPr>
            <w:r>
              <w:rPr>
                <w:rFonts w:ascii="Arial" w:cs="Arial" w:eastAsia="Arial" w:hAnsi="Arial"/>
                <w:color w:val="404040"/>
                <w:sz w:val="20"/>
                <w:szCs w:val="20"/>
              </w:rPr>
              <w:t xml:space="preserve">  Delayed esophageal reconstruction with colon interposition at 6–12 months after recovery</w:t>
            </w:r>
          </w:p>
          <w:p>
            <w:pPr>
              <w:pStyle w:val="ListParagraph"/>
              <w:numPr>
                <w:ilvl w:val="0"/>
                <w:numId w:val="2"/>
              </w:numPr>
              <w:spacing w:before="20" w:after="20"/>
            </w:pPr>
            <w:r>
              <w:rPr>
                <w:rFonts w:ascii="Arial" w:cs="Arial" w:eastAsia="Arial" w:hAnsi="Arial"/>
                <w:color w:val="404040"/>
                <w:sz w:val="20"/>
                <w:szCs w:val="20"/>
              </w:rPr>
              <w:t xml:space="preserve">If early perforation (&lt;48 hours) with limited contamination: primary repair + drainage is possible in some cases</w:t>
            </w:r>
          </w:p>
        </w:tc>
      </w:tr>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2  </w:t>
            </w:r>
            <w:r>
              <w:rPr>
                <w:rFonts w:ascii="Arial" w:cs="Arial" w:eastAsia="Arial" w:hAnsi="Arial"/>
                <w:b/>
                <w:bCs/>
                <w:color w:val="404040"/>
                <w:sz w:val="20"/>
                <w:szCs w:val="20"/>
              </w:rPr>
              <w:t xml:space="preserve">Long-term stricture — dilation failure</w:t>
            </w:r>
          </w:p>
          <w:p>
            <w:pPr>
              <w:spacing w:before="40"/>
            </w:pPr>
            <w:r>
              <w:rPr>
                <w:rFonts w:ascii="Arial" w:cs="Arial" w:eastAsia="Arial" w:hAnsi="Arial"/>
                <w:i/>
                <w:iCs/>
                <w:color w:val="404040"/>
                <w:sz w:val="20"/>
                <w:szCs w:val="20"/>
              </w:rPr>
              <w:t xml:space="preserve">The patient developed an esophageal stricture and has undergone 8 dilations over the past year. He still has severe dysphagia. What definitive management do you discuss with the family?</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Refractory stricture: not responding to serial dilation after reasonable number of attempts</w:t>
            </w:r>
          </w:p>
          <w:p>
            <w:pPr>
              <w:pStyle w:val="ListParagraph"/>
              <w:numPr>
                <w:ilvl w:val="0"/>
                <w:numId w:val="2"/>
              </w:numPr>
              <w:spacing w:before="20" w:after="20"/>
            </w:pPr>
            <w:r>
              <w:rPr>
                <w:rFonts w:ascii="Arial" w:cs="Arial" w:eastAsia="Arial" w:hAnsi="Arial"/>
                <w:color w:val="404040"/>
                <w:sz w:val="20"/>
                <w:szCs w:val="20"/>
              </w:rPr>
              <w:t xml:space="preserve">Options:</w:t>
            </w:r>
          </w:p>
          <w:p>
            <w:pPr>
              <w:pStyle w:val="ListParagraph"/>
              <w:numPr>
                <w:ilvl w:val="0"/>
                <w:numId w:val="2"/>
              </w:numPr>
              <w:spacing w:before="20" w:after="20"/>
            </w:pPr>
            <w:r>
              <w:rPr>
                <w:rFonts w:ascii="Arial" w:cs="Arial" w:eastAsia="Arial" w:hAnsi="Arial"/>
                <w:color w:val="404040"/>
                <w:sz w:val="20"/>
                <w:szCs w:val="20"/>
              </w:rPr>
              <w:t xml:space="preserve">  Intralesional steroid injection at time of dilation: triamcinolone — reduces fibrosis</w:t>
            </w:r>
          </w:p>
          <w:p>
            <w:pPr>
              <w:pStyle w:val="ListParagraph"/>
              <w:numPr>
                <w:ilvl w:val="0"/>
                <w:numId w:val="2"/>
              </w:numPr>
              <w:spacing w:before="20" w:after="20"/>
            </w:pPr>
            <w:r>
              <w:rPr>
                <w:rFonts w:ascii="Arial" w:cs="Arial" w:eastAsia="Arial" w:hAnsi="Arial"/>
                <w:color w:val="404040"/>
                <w:sz w:val="20"/>
                <w:szCs w:val="20"/>
              </w:rPr>
              <w:t xml:space="preserve">  Mitomycin-C topical application: anti-fibrotic agent</w:t>
            </w:r>
          </w:p>
          <w:p>
            <w:pPr>
              <w:pStyle w:val="ListParagraph"/>
              <w:numPr>
                <w:ilvl w:val="0"/>
                <w:numId w:val="2"/>
              </w:numPr>
              <w:spacing w:before="20" w:after="20"/>
            </w:pPr>
            <w:r>
              <w:rPr>
                <w:rFonts w:ascii="Arial" w:cs="Arial" w:eastAsia="Arial" w:hAnsi="Arial"/>
                <w:color w:val="404040"/>
                <w:sz w:val="20"/>
                <w:szCs w:val="20"/>
              </w:rPr>
              <w:t xml:space="preserve">  Esophageal reconstruction: definitive solution for refractory stricture</w:t>
            </w:r>
          </w:p>
          <w:p>
            <w:pPr>
              <w:pStyle w:val="ListParagraph"/>
              <w:numPr>
                <w:ilvl w:val="0"/>
                <w:numId w:val="2"/>
              </w:numPr>
              <w:spacing w:before="20" w:after="20"/>
            </w:pPr>
            <w:r>
              <w:rPr>
                <w:rFonts w:ascii="Arial" w:cs="Arial" w:eastAsia="Arial" w:hAnsi="Arial"/>
                <w:color w:val="404040"/>
                <w:sz w:val="20"/>
                <w:szCs w:val="20"/>
              </w:rPr>
              <w:t xml:space="preserve">  Colon interposition: standard technique in children — usually transverse or left colon on middle colic vessel; tunnel through retrosternal space or posterior mediastinum</w:t>
            </w:r>
          </w:p>
          <w:p>
            <w:pPr>
              <w:pStyle w:val="ListParagraph"/>
              <w:numPr>
                <w:ilvl w:val="0"/>
                <w:numId w:val="2"/>
              </w:numPr>
              <w:spacing w:before="20" w:after="20"/>
            </w:pPr>
            <w:r>
              <w:rPr>
                <w:rFonts w:ascii="Arial" w:cs="Arial" w:eastAsia="Arial" w:hAnsi="Arial"/>
                <w:color w:val="404040"/>
                <w:sz w:val="20"/>
                <w:szCs w:val="20"/>
              </w:rPr>
              <w:t xml:space="preserve">  Gastric pull-up: alternative if colon unsuitable</w:t>
            </w:r>
          </w:p>
          <w:p>
            <w:pPr>
              <w:pStyle w:val="ListParagraph"/>
              <w:numPr>
                <w:ilvl w:val="0"/>
                <w:numId w:val="2"/>
              </w:numPr>
              <w:spacing w:before="20" w:after="20"/>
            </w:pPr>
            <w:r>
              <w:rPr>
                <w:rFonts w:ascii="Arial" w:cs="Arial" w:eastAsia="Arial" w:hAnsi="Arial"/>
                <w:color w:val="404040"/>
                <w:sz w:val="20"/>
                <w:szCs w:val="20"/>
              </w:rPr>
              <w:t xml:space="preserve">  Free jejunal transfer: for short cervical strictures</w:t>
            </w:r>
          </w:p>
          <w:p>
            <w:pPr>
              <w:pStyle w:val="ListParagraph"/>
              <w:numPr>
                <w:ilvl w:val="0"/>
                <w:numId w:val="2"/>
              </w:numPr>
              <w:spacing w:before="20" w:after="20"/>
            </w:pPr>
            <w:r>
              <w:rPr>
                <w:rFonts w:ascii="Arial" w:cs="Arial" w:eastAsia="Arial" w:hAnsi="Arial"/>
                <w:color w:val="404040"/>
                <w:sz w:val="20"/>
                <w:szCs w:val="20"/>
              </w:rPr>
              <w:t xml:space="preserve">Counsel family: reconstruction is a major operation with significant morbidity; careful patient selection and timing important</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CRITICAL ERRORS — Automatic Fail if any committed</w:t>
            </w:r>
          </w:p>
          <w:p>
            <w:pPr>
              <w:spacing w:before="40"/>
            </w:pPr>
            <w:r>
              <w:rPr>
                <w:rFonts w:ascii="Arial" w:cs="Arial" w:eastAsia="Arial" w:hAnsi="Arial"/>
                <w:color w:val="C00000"/>
                <w:sz w:val="20"/>
                <w:szCs w:val="20"/>
              </w:rPr>
              <w:t xml:space="preserve">☐  Inducing vomiting after caustic ingestion — re-exposes esophagus to the agent</w:t>
            </w:r>
          </w:p>
          <w:p>
            <w:pPr>
              <w:spacing w:before="40"/>
            </w:pPr>
            <w:r>
              <w:rPr>
                <w:rFonts w:ascii="Arial" w:cs="Arial" w:eastAsia="Arial" w:hAnsi="Arial"/>
                <w:color w:val="C00000"/>
                <w:sz w:val="20"/>
                <w:szCs w:val="20"/>
              </w:rPr>
              <w:t xml:space="preserve">☐  Administering systemic steroids — not effective, masks sepsis and impairs healing</w:t>
            </w:r>
          </w:p>
          <w:p>
            <w:pPr>
              <w:spacing w:before="40"/>
            </w:pPr>
            <w:r>
              <w:rPr>
                <w:rFonts w:ascii="Arial" w:cs="Arial" w:eastAsia="Arial" w:hAnsi="Arial"/>
                <w:color w:val="C00000"/>
                <w:sz w:val="20"/>
                <w:szCs w:val="20"/>
              </w:rPr>
              <w:t xml:space="preserve">☐  Performing esophagoscopy between 5–15 days post-ingestion — maximum perforation risk window</w:t>
            </w:r>
          </w:p>
          <w:p>
            <w:pPr>
              <w:spacing w:before="40"/>
            </w:pPr>
            <w:r>
              <w:rPr>
                <w:rFonts w:ascii="Arial" w:cs="Arial" w:eastAsia="Arial" w:hAnsi="Arial"/>
                <w:color w:val="C00000"/>
                <w:sz w:val="20"/>
                <w:szCs w:val="20"/>
              </w:rPr>
              <w:t xml:space="preserve">☐  Placing NGT blindly in the acute phase without esophagoscopy — perforation risk</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KEY TEACHING POINTS</w:t>
            </w:r>
          </w:p>
          <w:p>
            <w:pPr>
              <w:spacing w:before="40"/>
            </w:pPr>
            <w:r>
              <w:rPr>
                <w:rFonts w:ascii="Arial" w:cs="Arial" w:eastAsia="Arial" w:hAnsi="Arial"/>
                <w:color w:val="404040"/>
                <w:sz w:val="20"/>
                <w:szCs w:val="20"/>
              </w:rPr>
              <w:t xml:space="preserve">•  Alkali &gt; acid in esophageal injury severity: liquefactive necrosis, deeper penetration, greater stricture risk</w:t>
            </w:r>
          </w:p>
          <w:p>
            <w:pPr>
              <w:spacing w:before="40"/>
            </w:pPr>
            <w:r>
              <w:rPr>
                <w:rFonts w:ascii="Arial" w:cs="Arial" w:eastAsia="Arial" w:hAnsi="Arial"/>
                <w:color w:val="404040"/>
                <w:sz w:val="20"/>
                <w:szCs w:val="20"/>
              </w:rPr>
              <w:t xml:space="preserve">•  Steroids are NOT recommended in caustic ingestion despite historical use — no efficacy, masks infection</w:t>
            </w:r>
          </w:p>
          <w:p>
            <w:pPr>
              <w:spacing w:before="40"/>
            </w:pPr>
            <w:r>
              <w:rPr>
                <w:rFonts w:ascii="Arial" w:cs="Arial" w:eastAsia="Arial" w:hAnsi="Arial"/>
                <w:color w:val="404040"/>
                <w:sz w:val="20"/>
                <w:szCs w:val="20"/>
              </w:rPr>
              <w:t xml:space="preserve">•  Esophagoscopy: within 24 hours for staging. Avoid 5–15 days (peak softening/necrosis — highest perforation risk).</w:t>
            </w:r>
          </w:p>
          <w:p>
            <w:pPr>
              <w:spacing w:before="40"/>
            </w:pPr>
            <w:r>
              <w:rPr>
                <w:rFonts w:ascii="Arial" w:cs="Arial" w:eastAsia="Arial" w:hAnsi="Arial"/>
                <w:color w:val="404040"/>
                <w:sz w:val="20"/>
                <w:szCs w:val="20"/>
              </w:rPr>
              <w:t xml:space="preserve">•  Grade 2b/3: high stricture rate &gt;70% — anticipate long-term dilation program and counsel on reconstruction</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9"/>
                <w:szCs w:val="19"/>
              </w:rPr>
              <w:t xml:space="preserve">EVIDENCE BASE &amp; REFERENCES</w:t>
            </w:r>
          </w:p>
          <w:p>
            <w:pPr>
              <w:spacing w:before="30"/>
            </w:pPr>
            <w:r>
              <w:rPr>
                <w:rFonts w:ascii="Arial" w:cs="Arial" w:eastAsia="Arial" w:hAnsi="Arial"/>
                <w:i/>
                <w:iCs/>
                <w:color w:val="595959"/>
                <w:sz w:val="18"/>
                <w:szCs w:val="18"/>
              </w:rPr>
              <w:t xml:space="preserve">Zargar SA et al. The role of fibreoptic endoscopy in the management of corrosive ingestion. Gastrointest Endosc 1991</w:t>
            </w:r>
          </w:p>
          <w:p>
            <w:pPr>
              <w:spacing w:before="30"/>
            </w:pPr>
            <w:r>
              <w:rPr>
                <w:rFonts w:ascii="Arial" w:cs="Arial" w:eastAsia="Arial" w:hAnsi="Arial"/>
                <w:i/>
                <w:iCs/>
                <w:color w:val="595959"/>
                <w:sz w:val="18"/>
                <w:szCs w:val="18"/>
              </w:rPr>
              <w:t xml:space="preserve">Contini S, Scarpignato C. Caustic esophageal injury in children. World J Gastroenterol 2013</w:t>
            </w:r>
          </w:p>
          <w:p>
            <w:pPr>
              <w:spacing w:before="30"/>
            </w:pPr>
            <w:r>
              <w:rPr>
                <w:rFonts w:ascii="Arial" w:cs="Arial" w:eastAsia="Arial" w:hAnsi="Arial"/>
                <w:i/>
                <w:iCs/>
                <w:color w:val="595959"/>
                <w:sz w:val="18"/>
                <w:szCs w:val="18"/>
              </w:rPr>
              <w:t xml:space="preserve">NASPGHAN: Guidelines for the management of pediatric caustic ingestion 2015</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ECU Department of Surgery  |  For examiner use only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0"/>
      <w:gridCol w:w="2800"/>
    </w:tblGrid>
    <w:tr>
      <w:tc>
        <w:tcPr>
          <w:tcW w:type="dxa" w:w="8000"/>
          <w:tcBorders>
            <w:top w:val="none" w:color="FFFFFF" w:sz="0"/>
            <w:left w:val="none" w:color="FFFFFF" w:sz="0"/>
            <w:bottom w:val="none" w:color="FFFFFF" w:sz="0"/>
            <w:right w:val="none" w:color="FFFFFF" w:sz="0"/>
          </w:tcBorders>
        </w:tcPr>
        <w:p>
          <w:r>
            <w:rPr>
              <w:rFonts w:ascii="Arial" w:cs="Arial" w:eastAsia="Arial" w:hAnsi="Arial"/>
              <w:color w:val="595959"/>
              <w:sz w:val="16"/>
              <w:szCs w:val="16"/>
            </w:rPr>
            <w:t xml:space="preserve">ECU General Surgery — Mock Oral Board Examiner Guide</w:t>
          </w:r>
          <w:r>
            <w:rPr>
              <w:rFonts w:ascii="Arial" w:cs="Arial" w:eastAsia="Arial" w:hAnsi="Arial"/>
              <w:b/>
              <w:bCs/>
              <w:color w:val="1F3864"/>
              <w:sz w:val="16"/>
              <w:szCs w:val="16"/>
            </w:rPr>
            <w:t xml:space="preserve">  |  Pediatric Caustic Esophageal Ingestion</w:t>
          </w:r>
        </w:p>
      </w:tc>
      <w:tc>
        <w:tcPr>
          <w:tcW w:type="dxa" w:w="2800"/>
          <w:tcBorders>
            <w:top w:val="none" w:color="FFFFFF" w:sz="0"/>
            <w:left w:val="none" w:color="FFFFFF" w:sz="0"/>
            <w:bottom w:val="none" w:color="FFFFFF" w:sz="0"/>
            <w:right w:val="none" w:color="FFFFFF" w:sz="0"/>
          </w:tcBorders>
        </w:tcPr>
        <w:p>
          <w:pPr>
            <w:jc w:val="right"/>
          </w:pPr>
          <w:r>
            <w:rPr>
              <w:rFonts w:ascii="Arial" w:cs="Arial" w:eastAsia="Arial" w:hAnsi="Arial"/>
              <w:color w:val="595959"/>
              <w:sz w:val="16"/>
              <w:szCs w:val="16"/>
            </w:rPr>
            <w:t xml:space="preserve">Advanced — Pediatric Surgery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2026-03-21T21:55:10.217Z</dcterms:created>
  <dcterms:modified xsi:type="dcterms:W3CDTF">2026-03-21T21:55:10.217Z</dcterms:modified>
</cp:coreProperties>
</file>

<file path=docProps/custom.xml><?xml version="1.0" encoding="utf-8"?>
<Properties xmlns="http://schemas.openxmlformats.org/officeDocument/2006/custom-properties" xmlns:vt="http://schemas.openxmlformats.org/officeDocument/2006/docPropsVTypes"/>
</file>