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Pancreatic Injury — Blunt Trauma</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Trauma</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35-year-old female is brought to the trauma bay after a head-on MVC. She is alert and talking, complaining of chest and abdominal pain. Vitals: HR 130, BP 150/90, RR 18, O2 sat 99%. She has a seatbelt sign. Abdomen: peritonitic with severe epigastric tenderness. FAST and CXR are negative.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FAST negative does not exclude major abdominal injury. Pancreatic injuries are notoriously occult on initial imaging. This case tests ATLS management, pancreatic injury grading (AAST), operative vs non-operative decisions, and the critical importance of detecting main pancreatic duct injury.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The FAST is negative. Does this change your suspicion for intra-abdominal injury?</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No — FAST negative does NOT exclude major abdominal injury</w:t>
            </w:r>
          </w:p>
          <w:p>
            <w:pPr>
              <w:pStyle w:val="ListParagraph"/>
              <w:numPr>
                <w:ilvl w:val="0"/>
                <w:numId w:val="2"/>
              </w:numPr>
              <w:spacing w:before="20" w:after="20"/>
            </w:pPr>
            <w:r>
              <w:rPr>
                <w:rFonts w:ascii="Arial" w:cs="Arial" w:eastAsia="Arial" w:hAnsi="Arial"/>
                <w:color w:val="404040"/>
                <w:sz w:val="20"/>
                <w:szCs w:val="20"/>
              </w:rPr>
              <w:t xml:space="preserve">FAST limitations: primarily detects FREE FLUID (hemorrhage) — not parenchymal injuries without hematoma or fluid</w:t>
            </w:r>
          </w:p>
          <w:p>
            <w:pPr>
              <w:pStyle w:val="ListParagraph"/>
              <w:numPr>
                <w:ilvl w:val="0"/>
                <w:numId w:val="2"/>
              </w:numPr>
              <w:spacing w:before="20" w:after="20"/>
            </w:pPr>
            <w:r>
              <w:rPr>
                <w:rFonts w:ascii="Arial" w:cs="Arial" w:eastAsia="Arial" w:hAnsi="Arial"/>
                <w:color w:val="404040"/>
                <w:sz w:val="20"/>
                <w:szCs w:val="20"/>
              </w:rPr>
              <w:t xml:space="preserve">Pancreatic injury: often FAST negative — no significant free fluid early, retroperitoneal organ</w:t>
            </w:r>
          </w:p>
          <w:p>
            <w:pPr>
              <w:pStyle w:val="ListParagraph"/>
              <w:numPr>
                <w:ilvl w:val="0"/>
                <w:numId w:val="2"/>
              </w:numPr>
              <w:spacing w:before="20" w:after="20"/>
            </w:pPr>
            <w:r>
              <w:rPr>
                <w:rFonts w:ascii="Arial" w:cs="Arial" w:eastAsia="Arial" w:hAnsi="Arial"/>
                <w:color w:val="404040"/>
                <w:sz w:val="20"/>
                <w:szCs w:val="20"/>
              </w:rPr>
              <w:t xml:space="preserve">Other false negatives: bowel injury, diaphragm injury, early solid organ injury before hemorrhage accumulates</w:t>
            </w:r>
          </w:p>
          <w:p>
            <w:pPr>
              <w:pStyle w:val="ListParagraph"/>
              <w:numPr>
                <w:ilvl w:val="0"/>
                <w:numId w:val="2"/>
              </w:numPr>
              <w:spacing w:before="20" w:after="20"/>
            </w:pPr>
            <w:r>
              <w:rPr>
                <w:rFonts w:ascii="Arial" w:cs="Arial" w:eastAsia="Arial" w:hAnsi="Arial"/>
                <w:color w:val="404040"/>
                <w:sz w:val="20"/>
                <w:szCs w:val="20"/>
              </w:rPr>
              <w:t xml:space="preserve">This patient: tachycardia + seatbelt sign + severe epigastric peritonitis = high suspicion for abdominal injury despite negative FAST</w:t>
            </w:r>
          </w:p>
          <w:p>
            <w:pPr>
              <w:pStyle w:val="ListParagraph"/>
              <w:numPr>
                <w:ilvl w:val="0"/>
                <w:numId w:val="2"/>
              </w:numPr>
              <w:spacing w:before="20" w:after="20"/>
            </w:pPr>
            <w:r>
              <w:rPr>
                <w:rFonts w:ascii="Arial" w:cs="Arial" w:eastAsia="Arial" w:hAnsi="Arial"/>
                <w:color w:val="404040"/>
                <w:sz w:val="20"/>
                <w:szCs w:val="20"/>
              </w:rPr>
              <w:t xml:space="preserve">Next step: CT abdomen/pelvis with IV contrast — superior sensitivity for parenchymal and retroperitoneal injuries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CT abdomen/pelvis: fracture through the neck/body of the pancreas with peripancreatic edema. No other injury. Labs: amylase 890, lipase 1,200. What is the AAST grading and what determines management?</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AAST Pancreatic Injury Grading:</w:t>
            </w:r>
          </w:p>
          <w:p>
            <w:pPr>
              <w:pStyle w:val="ListParagraph"/>
              <w:numPr>
                <w:ilvl w:val="0"/>
                <w:numId w:val="2"/>
              </w:numPr>
              <w:spacing w:before="20" w:after="20"/>
            </w:pPr>
            <w:r>
              <w:rPr>
                <w:rFonts w:ascii="Arial" w:cs="Arial" w:eastAsia="Arial" w:hAnsi="Arial"/>
                <w:color w:val="404040"/>
                <w:sz w:val="20"/>
                <w:szCs w:val="20"/>
              </w:rPr>
              <w:t xml:space="preserve">  Grade I: minor contusion without duct injury OR superficial laceration</w:t>
            </w:r>
          </w:p>
          <w:p>
            <w:pPr>
              <w:pStyle w:val="ListParagraph"/>
              <w:numPr>
                <w:ilvl w:val="0"/>
                <w:numId w:val="2"/>
              </w:numPr>
              <w:spacing w:before="20" w:after="20"/>
            </w:pPr>
            <w:r>
              <w:rPr>
                <w:rFonts w:ascii="Arial" w:cs="Arial" w:eastAsia="Arial" w:hAnsi="Arial"/>
                <w:color w:val="404040"/>
                <w:sz w:val="20"/>
                <w:szCs w:val="20"/>
              </w:rPr>
              <w:t xml:space="preserve">  Grade II: major contusion without duct injury OR major laceration without duct injury</w:t>
            </w:r>
          </w:p>
          <w:p>
            <w:pPr>
              <w:pStyle w:val="ListParagraph"/>
              <w:numPr>
                <w:ilvl w:val="0"/>
                <w:numId w:val="2"/>
              </w:numPr>
              <w:spacing w:before="20" w:after="20"/>
            </w:pPr>
            <w:r>
              <w:rPr>
                <w:rFonts w:ascii="Arial" w:cs="Arial" w:eastAsia="Arial" w:hAnsi="Arial"/>
                <w:color w:val="404040"/>
                <w:sz w:val="20"/>
                <w:szCs w:val="20"/>
              </w:rPr>
              <w:t xml:space="preserve">  Grade III: distal transection OR parenchymal injury WITH duct injury</w:t>
            </w:r>
          </w:p>
          <w:p>
            <w:pPr>
              <w:pStyle w:val="ListParagraph"/>
              <w:numPr>
                <w:ilvl w:val="0"/>
                <w:numId w:val="2"/>
              </w:numPr>
              <w:spacing w:before="20" w:after="20"/>
            </w:pPr>
            <w:r>
              <w:rPr>
                <w:rFonts w:ascii="Arial" w:cs="Arial" w:eastAsia="Arial" w:hAnsi="Arial"/>
                <w:color w:val="404040"/>
                <w:sz w:val="20"/>
                <w:szCs w:val="20"/>
              </w:rPr>
              <w:t xml:space="preserve">  Grade IV: proximal transection OR parenchymal injury with involvement of ampulla</w:t>
            </w:r>
          </w:p>
          <w:p>
            <w:pPr>
              <w:pStyle w:val="ListParagraph"/>
              <w:numPr>
                <w:ilvl w:val="0"/>
                <w:numId w:val="2"/>
              </w:numPr>
              <w:spacing w:before="20" w:after="20"/>
            </w:pPr>
            <w:r>
              <w:rPr>
                <w:rFonts w:ascii="Arial" w:cs="Arial" w:eastAsia="Arial" w:hAnsi="Arial"/>
                <w:color w:val="404040"/>
                <w:sz w:val="20"/>
                <w:szCs w:val="20"/>
              </w:rPr>
              <w:t xml:space="preserve">  Grade V: massive disruption of pancreatic head</w:t>
            </w:r>
          </w:p>
          <w:p>
            <w:pPr>
              <w:pStyle w:val="ListParagraph"/>
              <w:numPr>
                <w:ilvl w:val="0"/>
                <w:numId w:val="2"/>
              </w:numPr>
              <w:spacing w:before="20" w:after="20"/>
            </w:pPr>
            <w:r>
              <w:rPr>
                <w:rFonts w:ascii="Arial" w:cs="Arial" w:eastAsia="Arial" w:hAnsi="Arial"/>
                <w:color w:val="404040"/>
                <w:sz w:val="20"/>
                <w:szCs w:val="20"/>
              </w:rPr>
              <w:t xml:space="preserve">This patient: fracture through neck/body — likely Grade III (distal) or IV (proximal) depending on exact location</w:t>
            </w:r>
          </w:p>
          <w:p>
            <w:pPr>
              <w:pStyle w:val="ListParagraph"/>
              <w:numPr>
                <w:ilvl w:val="0"/>
                <w:numId w:val="2"/>
              </w:numPr>
              <w:spacing w:before="20" w:after="20"/>
            </w:pPr>
            <w:r>
              <w:rPr>
                <w:rFonts w:ascii="Arial" w:cs="Arial" w:eastAsia="Arial" w:hAnsi="Arial"/>
                <w:color w:val="404040"/>
                <w:sz w:val="20"/>
                <w:szCs w:val="20"/>
              </w:rPr>
              <w:t xml:space="preserve">KEY DETERMINANT: Is the MAIN PANCREATIC DUCT (MPD) injured? This is the most important factor in management</w:t>
            </w:r>
          </w:p>
          <w:p>
            <w:pPr>
              <w:pStyle w:val="ListParagraph"/>
              <w:numPr>
                <w:ilvl w:val="0"/>
                <w:numId w:val="2"/>
              </w:numPr>
              <w:spacing w:before="20" w:after="20"/>
            </w:pPr>
            <w:r>
              <w:rPr>
                <w:rFonts w:ascii="Arial" w:cs="Arial" w:eastAsia="Arial" w:hAnsi="Arial"/>
                <w:color w:val="404040"/>
                <w:sz w:val="20"/>
                <w:szCs w:val="20"/>
              </w:rPr>
              <w:t xml:space="preserve">CT alone cannot always detect MPD injury — may need MRCP or operative assessment</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The presence or absence of main pancreatic duct injury is the single most important factor in management of blunt pancreatic trauma. Missed duct injury leads to pancreatic fistula, abscess, and pseudocyst.</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MRCP shows a complete transection of the main pancreatic duct at the neck. How do you manage?</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Complete MPD transection (Grade III–IV): requires operative intervention or endoscopic stenting</w:t>
            </w:r>
          </w:p>
          <w:p>
            <w:pPr>
              <w:pStyle w:val="ListParagraph"/>
              <w:numPr>
                <w:ilvl w:val="0"/>
                <w:numId w:val="2"/>
              </w:numPr>
              <w:spacing w:before="20" w:after="20"/>
            </w:pPr>
            <w:r>
              <w:rPr>
                <w:rFonts w:ascii="Arial" w:cs="Arial" w:eastAsia="Arial" w:hAnsi="Arial"/>
                <w:color w:val="404040"/>
                <w:sz w:val="20"/>
                <w:szCs w:val="20"/>
              </w:rPr>
              <w:t xml:space="preserve">Operative management for Grade III distal transection:</w:t>
            </w:r>
          </w:p>
          <w:p>
            <w:pPr>
              <w:pStyle w:val="ListParagraph"/>
              <w:numPr>
                <w:ilvl w:val="0"/>
                <w:numId w:val="2"/>
              </w:numPr>
              <w:spacing w:before="20" w:after="20"/>
            </w:pPr>
            <w:r>
              <w:rPr>
                <w:rFonts w:ascii="Arial" w:cs="Arial" w:eastAsia="Arial" w:hAnsi="Arial"/>
                <w:color w:val="404040"/>
                <w:sz w:val="20"/>
                <w:szCs w:val="20"/>
              </w:rPr>
              <w:t xml:space="preserve">  Distal pancreatectomy (distal to the duct injury): remove the distal pancreatic segment</w:t>
            </w:r>
          </w:p>
          <w:p>
            <w:pPr>
              <w:pStyle w:val="ListParagraph"/>
              <w:numPr>
                <w:ilvl w:val="0"/>
                <w:numId w:val="2"/>
              </w:numPr>
              <w:spacing w:before="20" w:after="20"/>
            </w:pPr>
            <w:r>
              <w:rPr>
                <w:rFonts w:ascii="Arial" w:cs="Arial" w:eastAsia="Arial" w:hAnsi="Arial"/>
                <w:color w:val="404040"/>
                <w:sz w:val="20"/>
                <w:szCs w:val="20"/>
              </w:rPr>
              <w:t xml:space="preserve">  Spleen-preserving distal pancreatectomy if hemodynamically stable — preserves splenic vascular supply</w:t>
            </w:r>
          </w:p>
          <w:p>
            <w:pPr>
              <w:pStyle w:val="ListParagraph"/>
              <w:numPr>
                <w:ilvl w:val="0"/>
                <w:numId w:val="2"/>
              </w:numPr>
              <w:spacing w:before="20" w:after="20"/>
            </w:pPr>
            <w:r>
              <w:rPr>
                <w:rFonts w:ascii="Arial" w:cs="Arial" w:eastAsia="Arial" w:hAnsi="Arial"/>
                <w:color w:val="404040"/>
                <w:sz w:val="20"/>
                <w:szCs w:val="20"/>
              </w:rPr>
              <w:t xml:space="preserve">  Or distal pancreatectomy with splenectomy if vascular involvement or hemodynamically unstable</w:t>
            </w:r>
          </w:p>
          <w:p>
            <w:pPr>
              <w:pStyle w:val="ListParagraph"/>
              <w:numPr>
                <w:ilvl w:val="0"/>
                <w:numId w:val="2"/>
              </w:numPr>
              <w:spacing w:before="20" w:after="20"/>
            </w:pPr>
            <w:r>
              <w:rPr>
                <w:rFonts w:ascii="Arial" w:cs="Arial" w:eastAsia="Arial" w:hAnsi="Arial"/>
                <w:color w:val="404040"/>
                <w:sz w:val="20"/>
                <w:szCs w:val="20"/>
              </w:rPr>
              <w:t xml:space="preserve">Operative management for proximal/neck transection (Grade IV):</w:t>
            </w:r>
          </w:p>
          <w:p>
            <w:pPr>
              <w:pStyle w:val="ListParagraph"/>
              <w:numPr>
                <w:ilvl w:val="0"/>
                <w:numId w:val="2"/>
              </w:numPr>
              <w:spacing w:before="20" w:after="20"/>
            </w:pPr>
            <w:r>
              <w:rPr>
                <w:rFonts w:ascii="Arial" w:cs="Arial" w:eastAsia="Arial" w:hAnsi="Arial"/>
                <w:color w:val="404040"/>
                <w:sz w:val="20"/>
                <w:szCs w:val="20"/>
              </w:rPr>
              <w:t xml:space="preserve">  Complex: injury is near the superior mesenteric vessels</w:t>
            </w:r>
          </w:p>
          <w:p>
            <w:pPr>
              <w:pStyle w:val="ListParagraph"/>
              <w:numPr>
                <w:ilvl w:val="0"/>
                <w:numId w:val="2"/>
              </w:numPr>
              <w:spacing w:before="20" w:after="20"/>
            </w:pPr>
            <w:r>
              <w:rPr>
                <w:rFonts w:ascii="Arial" w:cs="Arial" w:eastAsia="Arial" w:hAnsi="Arial"/>
                <w:color w:val="404040"/>
                <w:sz w:val="20"/>
                <w:szCs w:val="20"/>
              </w:rPr>
              <w:t xml:space="preserve">  Options: drainage + ERCP stenting vs distal pancreatectomy leaving proximal duct intact vs pancreaticoduodenectomy (rarely needed acutely)</w:t>
            </w:r>
          </w:p>
          <w:p>
            <w:pPr>
              <w:pStyle w:val="ListParagraph"/>
              <w:numPr>
                <w:ilvl w:val="0"/>
                <w:numId w:val="2"/>
              </w:numPr>
              <w:spacing w:before="20" w:after="20"/>
            </w:pPr>
            <w:r>
              <w:rPr>
                <w:rFonts w:ascii="Arial" w:cs="Arial" w:eastAsia="Arial" w:hAnsi="Arial"/>
                <w:color w:val="404040"/>
                <w:sz w:val="20"/>
                <w:szCs w:val="20"/>
              </w:rPr>
              <w:t xml:space="preserve">  Most surgeons: drain the injury, decompress the proximal duct with ERCP/stent post-op, resect distally</w:t>
            </w:r>
          </w:p>
          <w:p>
            <w:pPr>
              <w:pStyle w:val="ListParagraph"/>
              <w:numPr>
                <w:ilvl w:val="0"/>
                <w:numId w:val="2"/>
              </w:numPr>
              <w:spacing w:before="20" w:after="20"/>
            </w:pPr>
            <w:r>
              <w:rPr>
                <w:rFonts w:ascii="Arial" w:cs="Arial" w:eastAsia="Arial" w:hAnsi="Arial"/>
                <w:color w:val="404040"/>
                <w:sz w:val="20"/>
                <w:szCs w:val="20"/>
              </w:rPr>
              <w:t xml:space="preserve">Endoscopic management: ERCP + transpapillary stenting across the disruption — may be used in stable patients to bridge duct, allows healing without resection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If the CT showed only peripancreatic edema without clear duct injury (Grade I–II), how would you manage?</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Grade I–II pancreatic injury WITHOUT duct injury: non-operative management is appropriate</w:t>
            </w:r>
          </w:p>
          <w:p>
            <w:pPr>
              <w:pStyle w:val="ListParagraph"/>
              <w:numPr>
                <w:ilvl w:val="0"/>
                <w:numId w:val="2"/>
              </w:numPr>
              <w:spacing w:before="20" w:after="20"/>
            </w:pPr>
            <w:r>
              <w:rPr>
                <w:rFonts w:ascii="Arial" w:cs="Arial" w:eastAsia="Arial" w:hAnsi="Arial"/>
                <w:color w:val="404040"/>
                <w:sz w:val="20"/>
                <w:szCs w:val="20"/>
              </w:rPr>
              <w:t xml:space="preserve">NPO, IV fluids, pain management, bowel rest</w:t>
            </w:r>
          </w:p>
          <w:p>
            <w:pPr>
              <w:pStyle w:val="ListParagraph"/>
              <w:numPr>
                <w:ilvl w:val="0"/>
                <w:numId w:val="2"/>
              </w:numPr>
              <w:spacing w:before="20" w:after="20"/>
            </w:pPr>
            <w:r>
              <w:rPr>
                <w:rFonts w:ascii="Arial" w:cs="Arial" w:eastAsia="Arial" w:hAnsi="Arial"/>
                <w:color w:val="404040"/>
                <w:sz w:val="20"/>
                <w:szCs w:val="20"/>
              </w:rPr>
              <w:t xml:space="preserve">Serial monitoring: amylase/lipase daily, clinical reassessment</w:t>
            </w:r>
          </w:p>
          <w:p>
            <w:pPr>
              <w:pStyle w:val="ListParagraph"/>
              <w:numPr>
                <w:ilvl w:val="0"/>
                <w:numId w:val="2"/>
              </w:numPr>
              <w:spacing w:before="20" w:after="20"/>
            </w:pPr>
            <w:r>
              <w:rPr>
                <w:rFonts w:ascii="Arial" w:cs="Arial" w:eastAsia="Arial" w:hAnsi="Arial"/>
                <w:color w:val="404040"/>
                <w:sz w:val="20"/>
                <w:szCs w:val="20"/>
              </w:rPr>
              <w:t xml:space="preserve">Repeat CT at 48–72 hours if clinical picture worsens or persistent elevation of enzymes</w:t>
            </w:r>
          </w:p>
          <w:p>
            <w:pPr>
              <w:pStyle w:val="ListParagraph"/>
              <w:numPr>
                <w:ilvl w:val="0"/>
                <w:numId w:val="2"/>
              </w:numPr>
              <w:spacing w:before="20" w:after="20"/>
            </w:pPr>
            <w:r>
              <w:rPr>
                <w:rFonts w:ascii="Arial" w:cs="Arial" w:eastAsia="Arial" w:hAnsi="Arial"/>
                <w:color w:val="404040"/>
                <w:sz w:val="20"/>
                <w:szCs w:val="20"/>
              </w:rPr>
              <w:t xml:space="preserve">Nasojejunal feeding or TPN: if prolonged NPO required</w:t>
            </w:r>
          </w:p>
          <w:p>
            <w:pPr>
              <w:pStyle w:val="ListParagraph"/>
              <w:numPr>
                <w:ilvl w:val="0"/>
                <w:numId w:val="2"/>
              </w:numPr>
              <w:spacing w:before="20" w:after="20"/>
            </w:pPr>
            <w:r>
              <w:rPr>
                <w:rFonts w:ascii="Arial" w:cs="Arial" w:eastAsia="Arial" w:hAnsi="Arial"/>
                <w:color w:val="404040"/>
                <w:sz w:val="20"/>
                <w:szCs w:val="20"/>
              </w:rPr>
              <w:t xml:space="preserve">Complications of non-operative management to monitor for:</w:t>
            </w:r>
          </w:p>
          <w:p>
            <w:pPr>
              <w:pStyle w:val="ListParagraph"/>
              <w:numPr>
                <w:ilvl w:val="0"/>
                <w:numId w:val="2"/>
              </w:numPr>
              <w:spacing w:before="20" w:after="20"/>
            </w:pPr>
            <w:r>
              <w:rPr>
                <w:rFonts w:ascii="Arial" w:cs="Arial" w:eastAsia="Arial" w:hAnsi="Arial"/>
                <w:color w:val="404040"/>
                <w:sz w:val="20"/>
                <w:szCs w:val="20"/>
              </w:rPr>
              <w:t xml:space="preserve">  Pseudocyst formation (10–20%)</w:t>
            </w:r>
          </w:p>
          <w:p>
            <w:pPr>
              <w:pStyle w:val="ListParagraph"/>
              <w:numPr>
                <w:ilvl w:val="0"/>
                <w:numId w:val="2"/>
              </w:numPr>
              <w:spacing w:before="20" w:after="20"/>
            </w:pPr>
            <w:r>
              <w:rPr>
                <w:rFonts w:ascii="Arial" w:cs="Arial" w:eastAsia="Arial" w:hAnsi="Arial"/>
                <w:color w:val="404040"/>
                <w:sz w:val="20"/>
                <w:szCs w:val="20"/>
              </w:rPr>
              <w:t xml:space="preserve">  Pancreatic fistula</w:t>
            </w:r>
          </w:p>
          <w:p>
            <w:pPr>
              <w:pStyle w:val="ListParagraph"/>
              <w:numPr>
                <w:ilvl w:val="0"/>
                <w:numId w:val="2"/>
              </w:numPr>
              <w:spacing w:before="20" w:after="20"/>
            </w:pPr>
            <w:r>
              <w:rPr>
                <w:rFonts w:ascii="Arial" w:cs="Arial" w:eastAsia="Arial" w:hAnsi="Arial"/>
                <w:color w:val="404040"/>
                <w:sz w:val="20"/>
                <w:szCs w:val="20"/>
              </w:rPr>
              <w:t xml:space="preserve">  Abscess</w:t>
            </w:r>
          </w:p>
          <w:p>
            <w:pPr>
              <w:pStyle w:val="ListParagraph"/>
              <w:numPr>
                <w:ilvl w:val="0"/>
                <w:numId w:val="2"/>
              </w:numPr>
              <w:spacing w:before="20" w:after="20"/>
            </w:pPr>
            <w:r>
              <w:rPr>
                <w:rFonts w:ascii="Arial" w:cs="Arial" w:eastAsia="Arial" w:hAnsi="Arial"/>
                <w:color w:val="404040"/>
                <w:sz w:val="20"/>
                <w:szCs w:val="20"/>
              </w:rPr>
              <w:t xml:space="preserve">Discharge when: tolerating diet, enzyme trends improving, clinically stable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Damage control scenario</w:t>
            </w:r>
          </w:p>
          <w:p>
            <w:pPr>
              <w:spacing w:before="40"/>
            </w:pPr>
            <w:r>
              <w:rPr>
                <w:rFonts w:ascii="Arial" w:cs="Arial" w:eastAsia="Arial" w:hAnsi="Arial"/>
                <w:i/>
                <w:iCs/>
                <w:color w:val="404040"/>
                <w:sz w:val="20"/>
                <w:szCs w:val="20"/>
              </w:rPr>
              <w:t xml:space="preserve">Different patient: same mechanism but hemodynamically unstable (BP 70/50) despite resuscitation. FAST positive. CT NOT performed. You take her to the OR and find a Grade IV pancreatic injury with active hemorrhage from the superior mesenteric vessels. How do you manage?</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Damage control laparotomy (DCL) principles:</w:t>
            </w:r>
          </w:p>
          <w:p>
            <w:pPr>
              <w:pStyle w:val="ListParagraph"/>
              <w:numPr>
                <w:ilvl w:val="0"/>
                <w:numId w:val="2"/>
              </w:numPr>
              <w:spacing w:before="20" w:after="20"/>
            </w:pPr>
            <w:r>
              <w:rPr>
                <w:rFonts w:ascii="Arial" w:cs="Arial" w:eastAsia="Arial" w:hAnsi="Arial"/>
                <w:color w:val="404040"/>
                <w:sz w:val="20"/>
                <w:szCs w:val="20"/>
              </w:rPr>
              <w:t xml:space="preserve">  1. Control hemorrhage: pack the pancreatic wound, control SMV/SMA bleeding with manual pressure or vascular clamps</w:t>
            </w:r>
          </w:p>
          <w:p>
            <w:pPr>
              <w:pStyle w:val="ListParagraph"/>
              <w:numPr>
                <w:ilvl w:val="0"/>
                <w:numId w:val="2"/>
              </w:numPr>
              <w:spacing w:before="20" w:after="20"/>
            </w:pPr>
            <w:r>
              <w:rPr>
                <w:rFonts w:ascii="Arial" w:cs="Arial" w:eastAsia="Arial" w:hAnsi="Arial"/>
                <w:color w:val="404040"/>
                <w:sz w:val="20"/>
                <w:szCs w:val="20"/>
              </w:rPr>
              <w:t xml:space="preserve">  2. Control contamination: control any enteric injuries</w:t>
            </w:r>
          </w:p>
          <w:p>
            <w:pPr>
              <w:pStyle w:val="ListParagraph"/>
              <w:numPr>
                <w:ilvl w:val="0"/>
                <w:numId w:val="2"/>
              </w:numPr>
              <w:spacing w:before="20" w:after="20"/>
            </w:pPr>
            <w:r>
              <w:rPr>
                <w:rFonts w:ascii="Arial" w:cs="Arial" w:eastAsia="Arial" w:hAnsi="Arial"/>
                <w:color w:val="404040"/>
                <w:sz w:val="20"/>
                <w:szCs w:val="20"/>
              </w:rPr>
              <w:t xml:space="preserve">  3. Temporize and close: temporary abdominal closure (TAC)</w:t>
            </w:r>
          </w:p>
          <w:p>
            <w:pPr>
              <w:pStyle w:val="ListParagraph"/>
              <w:numPr>
                <w:ilvl w:val="0"/>
                <w:numId w:val="2"/>
              </w:numPr>
              <w:spacing w:before="20" w:after="20"/>
            </w:pPr>
            <w:r>
              <w:rPr>
                <w:rFonts w:ascii="Arial" w:cs="Arial" w:eastAsia="Arial" w:hAnsi="Arial"/>
                <w:color w:val="404040"/>
                <w:sz w:val="20"/>
                <w:szCs w:val="20"/>
              </w:rPr>
              <w:t xml:space="preserve">  4. ICU resuscitation: correct coagulopathy, hypothermia, acidosis (the lethal triad)</w:t>
            </w:r>
          </w:p>
          <w:p>
            <w:pPr>
              <w:pStyle w:val="ListParagraph"/>
              <w:numPr>
                <w:ilvl w:val="0"/>
                <w:numId w:val="2"/>
              </w:numPr>
              <w:spacing w:before="20" w:after="20"/>
            </w:pPr>
            <w:r>
              <w:rPr>
                <w:rFonts w:ascii="Arial" w:cs="Arial" w:eastAsia="Arial" w:hAnsi="Arial"/>
                <w:color w:val="404040"/>
                <w:sz w:val="20"/>
                <w:szCs w:val="20"/>
              </w:rPr>
              <w:t xml:space="preserve">  5. Return to OR in 24–48 hours for definitive repair/reconstruction</w:t>
            </w:r>
          </w:p>
          <w:p>
            <w:pPr>
              <w:pStyle w:val="ListParagraph"/>
              <w:numPr>
                <w:ilvl w:val="0"/>
                <w:numId w:val="2"/>
              </w:numPr>
              <w:spacing w:before="20" w:after="20"/>
            </w:pPr>
            <w:r>
              <w:rPr>
                <w:rFonts w:ascii="Arial" w:cs="Arial" w:eastAsia="Arial" w:hAnsi="Arial"/>
                <w:color w:val="404040"/>
                <w:sz w:val="20"/>
                <w:szCs w:val="20"/>
              </w:rPr>
              <w:t xml:space="preserve">Pancreatic DCL: pack the injury, drain the injury, do NOT perform pancreaticoduodenectomy in the acute unstable setting</w:t>
            </w:r>
          </w:p>
          <w:p>
            <w:pPr>
              <w:pStyle w:val="ListParagraph"/>
              <w:numPr>
                <w:ilvl w:val="0"/>
                <w:numId w:val="2"/>
              </w:numPr>
              <w:spacing w:before="20" w:after="20"/>
            </w:pPr>
            <w:r>
              <w:rPr>
                <w:rFonts w:ascii="Arial" w:cs="Arial" w:eastAsia="Arial" w:hAnsi="Arial"/>
                <w:color w:val="404040"/>
                <w:sz w:val="20"/>
                <w:szCs w:val="20"/>
              </w:rPr>
              <w:t xml:space="preserve">Pancreaticoduodenectomy for trauma: only in a stable patient at a later planned operation — Whipple in an unstable patient has &gt;50% mortality</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Post-op day 5 — pancreatic fistula</w:t>
            </w:r>
          </w:p>
          <w:p>
            <w:pPr>
              <w:spacing w:before="40"/>
            </w:pPr>
            <w:r>
              <w:rPr>
                <w:rFonts w:ascii="Arial" w:cs="Arial" w:eastAsia="Arial" w:hAnsi="Arial"/>
                <w:i/>
                <w:iCs/>
                <w:color w:val="404040"/>
                <w:sz w:val="20"/>
                <w:szCs w:val="20"/>
              </w:rPr>
              <w:t xml:space="preserve">Patient underwent distal pancreatectomy. On POD 5, the surgical drain puts out 200 mL/day of clear fluid with amylase 8,000 U/L. How do you manage?</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Pancreatic fistula (PF): amylase in drain fluid &gt;3x upper limit of normal on or after POD 3 — this qualifies</w:t>
            </w:r>
          </w:p>
          <w:p>
            <w:pPr>
              <w:pStyle w:val="ListParagraph"/>
              <w:numPr>
                <w:ilvl w:val="0"/>
                <w:numId w:val="2"/>
              </w:numPr>
              <w:spacing w:before="20" w:after="20"/>
            </w:pPr>
            <w:r>
              <w:rPr>
                <w:rFonts w:ascii="Arial" w:cs="Arial" w:eastAsia="Arial" w:hAnsi="Arial"/>
                <w:color w:val="404040"/>
                <w:sz w:val="20"/>
                <w:szCs w:val="20"/>
              </w:rPr>
              <w:t xml:space="preserve">Grade B PF (clinically relevant): persistent drain output requiring management</w:t>
            </w:r>
          </w:p>
          <w:p>
            <w:pPr>
              <w:pStyle w:val="ListParagraph"/>
              <w:numPr>
                <w:ilvl w:val="0"/>
                <w:numId w:val="2"/>
              </w:numPr>
              <w:spacing w:before="20" w:after="20"/>
            </w:pPr>
            <w:r>
              <w:rPr>
                <w:rFonts w:ascii="Arial" w:cs="Arial" w:eastAsia="Arial" w:hAnsi="Arial"/>
                <w:color w:val="404040"/>
                <w:sz w:val="20"/>
                <w:szCs w:val="20"/>
              </w:rPr>
              <w:t xml:space="preserve">Management:</w:t>
            </w:r>
          </w:p>
          <w:p>
            <w:pPr>
              <w:pStyle w:val="ListParagraph"/>
              <w:numPr>
                <w:ilvl w:val="0"/>
                <w:numId w:val="2"/>
              </w:numPr>
              <w:spacing w:before="20" w:after="20"/>
            </w:pPr>
            <w:r>
              <w:rPr>
                <w:rFonts w:ascii="Arial" w:cs="Arial" w:eastAsia="Arial" w:hAnsi="Arial"/>
                <w:color w:val="404040"/>
                <w:sz w:val="20"/>
                <w:szCs w:val="20"/>
              </w:rPr>
              <w:t xml:space="preserve">  Keep drain in place — do NOT remove</w:t>
            </w:r>
          </w:p>
          <w:p>
            <w:pPr>
              <w:pStyle w:val="ListParagraph"/>
              <w:numPr>
                <w:ilvl w:val="0"/>
                <w:numId w:val="2"/>
              </w:numPr>
              <w:spacing w:before="20" w:after="20"/>
            </w:pPr>
            <w:r>
              <w:rPr>
                <w:rFonts w:ascii="Arial" w:cs="Arial" w:eastAsia="Arial" w:hAnsi="Arial"/>
                <w:color w:val="404040"/>
                <w:sz w:val="20"/>
                <w:szCs w:val="20"/>
              </w:rPr>
              <w:t xml:space="preserve">  NPO or low-fat diet; consider TPN if high output</w:t>
            </w:r>
          </w:p>
          <w:p>
            <w:pPr>
              <w:pStyle w:val="ListParagraph"/>
              <w:numPr>
                <w:ilvl w:val="0"/>
                <w:numId w:val="2"/>
              </w:numPr>
              <w:spacing w:before="20" w:after="20"/>
            </w:pPr>
            <w:r>
              <w:rPr>
                <w:rFonts w:ascii="Arial" w:cs="Arial" w:eastAsia="Arial" w:hAnsi="Arial"/>
                <w:color w:val="404040"/>
                <w:sz w:val="20"/>
                <w:szCs w:val="20"/>
              </w:rPr>
              <w:t xml:space="preserve">  Octreotide (somatostatin analogue): reduces pancreatic secretions — 100–200 mcg TID SC or IV infusion</w:t>
            </w:r>
          </w:p>
          <w:p>
            <w:pPr>
              <w:pStyle w:val="ListParagraph"/>
              <w:numPr>
                <w:ilvl w:val="0"/>
                <w:numId w:val="2"/>
              </w:numPr>
              <w:spacing w:before="20" w:after="20"/>
            </w:pPr>
            <w:r>
              <w:rPr>
                <w:rFonts w:ascii="Arial" w:cs="Arial" w:eastAsia="Arial" w:hAnsi="Arial"/>
                <w:color w:val="404040"/>
                <w:sz w:val="20"/>
                <w:szCs w:val="20"/>
              </w:rPr>
              <w:t xml:space="preserve">  ERCP: if available, transpapillary stenting across the disruption can decompress the proximal pancreatic duct and facilitate closure</w:t>
            </w:r>
          </w:p>
          <w:p>
            <w:pPr>
              <w:pStyle w:val="ListParagraph"/>
              <w:numPr>
                <w:ilvl w:val="0"/>
                <w:numId w:val="2"/>
              </w:numPr>
              <w:spacing w:before="20" w:after="20"/>
            </w:pPr>
            <w:r>
              <w:rPr>
                <w:rFonts w:ascii="Arial" w:cs="Arial" w:eastAsia="Arial" w:hAnsi="Arial"/>
                <w:color w:val="404040"/>
                <w:sz w:val="20"/>
                <w:szCs w:val="20"/>
              </w:rPr>
              <w:t xml:space="preserve">  Time: most Grade B fistulas close within 4–6 weeks with conservative management</w:t>
            </w:r>
          </w:p>
          <w:p>
            <w:pPr>
              <w:pStyle w:val="ListParagraph"/>
              <w:numPr>
                <w:ilvl w:val="0"/>
                <w:numId w:val="2"/>
              </w:numPr>
              <w:spacing w:before="20" w:after="20"/>
            </w:pPr>
            <w:r>
              <w:rPr>
                <w:rFonts w:ascii="Arial" w:cs="Arial" w:eastAsia="Arial" w:hAnsi="Arial"/>
                <w:color w:val="404040"/>
                <w:sz w:val="20"/>
                <w:szCs w:val="20"/>
              </w:rPr>
              <w:t xml:space="preserve">  Grade C (severe, causing organ failure): may require reoperation, total pancreatectomy in extreme cases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Dismissing a patient with seatbelt sign and epigastric peritonitis as stable because FAST is negative</w:t>
            </w:r>
          </w:p>
          <w:p>
            <w:pPr>
              <w:spacing w:before="40"/>
            </w:pPr>
            <w:r>
              <w:rPr>
                <w:rFonts w:ascii="Arial" w:cs="Arial" w:eastAsia="Arial" w:hAnsi="Arial"/>
                <w:color w:val="C00000"/>
                <w:sz w:val="20"/>
                <w:szCs w:val="20"/>
              </w:rPr>
              <w:t xml:space="preserve">☐  Not obtaining MRCP or operative assessment for suspected main pancreatic duct injury — CT cannot reliably detect duct injuries</w:t>
            </w:r>
          </w:p>
          <w:p>
            <w:pPr>
              <w:spacing w:before="40"/>
            </w:pPr>
            <w:r>
              <w:rPr>
                <w:rFonts w:ascii="Arial" w:cs="Arial" w:eastAsia="Arial" w:hAnsi="Arial"/>
                <w:color w:val="C00000"/>
                <w:sz w:val="20"/>
                <w:szCs w:val="20"/>
              </w:rPr>
              <w:t xml:space="preserve">☐  Performing pancreaticoduodenectomy (Whipple) in a hemodynamically unstable patient — unacceptably high mortality</w:t>
            </w:r>
          </w:p>
          <w:p>
            <w:pPr>
              <w:spacing w:before="40"/>
            </w:pPr>
            <w:r>
              <w:rPr>
                <w:rFonts w:ascii="Arial" w:cs="Arial" w:eastAsia="Arial" w:hAnsi="Arial"/>
                <w:color w:val="C00000"/>
                <w:sz w:val="20"/>
                <w:szCs w:val="20"/>
              </w:rPr>
              <w:t xml:space="preserve">☐  Removing a surgical drain when a pancreatic fistula is present — loss of controlled drainage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FAST negative does NOT exclude pancreatic or other retroperitoneal injuries — CT is required in high-suspicion blunt abdominal trauma</w:t>
            </w:r>
          </w:p>
          <w:p>
            <w:pPr>
              <w:spacing w:before="40"/>
            </w:pPr>
            <w:r>
              <w:rPr>
                <w:rFonts w:ascii="Arial" w:cs="Arial" w:eastAsia="Arial" w:hAnsi="Arial"/>
                <w:color w:val="404040"/>
                <w:sz w:val="20"/>
                <w:szCs w:val="20"/>
              </w:rPr>
              <w:t xml:space="preserve">•  Main pancreatic duct injury is the single most important factor in management — MRCP is the best study if CT is inconclusive</w:t>
            </w:r>
          </w:p>
          <w:p>
            <w:pPr>
              <w:spacing w:before="40"/>
            </w:pPr>
            <w:r>
              <w:rPr>
                <w:rFonts w:ascii="Arial" w:cs="Arial" w:eastAsia="Arial" w:hAnsi="Arial"/>
                <w:color w:val="404040"/>
                <w:sz w:val="20"/>
                <w:szCs w:val="20"/>
              </w:rPr>
              <w:t xml:space="preserve">•  Grade III distal: distal pancreatectomy. Grade IV proximal/neck: complex — drain + ERCP stenting or staged resection</w:t>
            </w:r>
          </w:p>
          <w:p>
            <w:pPr>
              <w:spacing w:before="40"/>
            </w:pPr>
            <w:r>
              <w:rPr>
                <w:rFonts w:ascii="Arial" w:cs="Arial" w:eastAsia="Arial" w:hAnsi="Arial"/>
                <w:color w:val="404040"/>
                <w:sz w:val="20"/>
                <w:szCs w:val="20"/>
              </w:rPr>
              <w:t xml:space="preserve">•  Damage control: pack + drain the pancreatic injury acutely. Definitive reconstruction only in a stable patient.</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EAST Practice Management Guidelines: Blunt Pancreatic Trauma</w:t>
            </w:r>
          </w:p>
          <w:p>
            <w:pPr>
              <w:spacing w:before="30"/>
            </w:pPr>
            <w:r>
              <w:rPr>
                <w:rFonts w:ascii="Arial" w:cs="Arial" w:eastAsia="Arial" w:hAnsi="Arial"/>
                <w:i/>
                <w:iCs/>
                <w:color w:val="595959"/>
                <w:sz w:val="18"/>
                <w:szCs w:val="18"/>
              </w:rPr>
              <w:t xml:space="preserve">Lahiri R et al. Pancreatic injury: lessons learned. Br J Surg 2013</w:t>
            </w:r>
          </w:p>
          <w:p>
            <w:pPr>
              <w:spacing w:before="30"/>
            </w:pPr>
            <w:r>
              <w:rPr>
                <w:rFonts w:ascii="Arial" w:cs="Arial" w:eastAsia="Arial" w:hAnsi="Arial"/>
                <w:i/>
                <w:iCs/>
                <w:color w:val="595959"/>
                <w:sz w:val="18"/>
                <w:szCs w:val="18"/>
              </w:rPr>
              <w:t xml:space="preserve">Krige JE et al. Pancreatic injuries. Injury 2005;36:1556</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Pancreatic Injury — Blunt Trauma</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Trauma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2026-03-21T21:55:10.310Z</dcterms:created>
  <dcterms:modified xsi:type="dcterms:W3CDTF">2026-03-21T21:55:10.310Z</dcterms:modified>
</cp:coreProperties>
</file>

<file path=docProps/custom.xml><?xml version="1.0" encoding="utf-8"?>
<Properties xmlns="http://schemas.openxmlformats.org/officeDocument/2006/custom-properties" xmlns:vt="http://schemas.openxmlformats.org/officeDocument/2006/docPropsVTypes"/>
</file>