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1560"/>
        <w:gridCol w:w="1560"/>
        <w:gridCol w:w="1560"/>
      </w:tblGrid>
      <w:tr>
        <w:tc>
          <w:tcPr>
            <w:tcW w:type="dxa" w:w="468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4"/>
                <w:szCs w:val="24"/>
              </w:rPr>
              <w:t xml:space="preserve">Pancreatic Adenocarcinoma / Whipple Procedure</w:t>
            </w:r>
          </w:p>
        </w:tc>
        <w:tc>
          <w:tcPr>
            <w:tcW w:type="dxa" w:w="1560"/>
            <w:tcBorders>
              <w:top w:val="single" w:color="1F3864" w:sz="1"/>
              <w:left w:val="single" w:color="1F3864" w:sz="1"/>
              <w:bottom w:val="single" w:color="1F3864" w:sz="1"/>
              <w:right w:val="single" w:color="1F3864" w:sz="1"/>
            </w:tcBorders>
            <w:shd w:fill="2E75B6" w:val="clear"/>
            <w:tcMar>
              <w:top w:type="dxa" w:w="80"/>
              <w:left w:type="dxa" w:w="80"/>
              <w:bottom w:type="dxa" w:w="80"/>
              <w:right w:type="dxa" w:w="80"/>
            </w:tcMar>
          </w:tcPr>
          <w:p>
            <w:pPr>
              <w:jc w:val="center"/>
            </w:pPr>
            <w:r>
              <w:rPr>
                <w:rFonts w:ascii="Arial" w:cs="Arial" w:eastAsia="Arial" w:hAnsi="Arial"/>
                <w:color w:val="D6E4F0"/>
                <w:sz w:val="15"/>
                <w:szCs w:val="15"/>
              </w:rPr>
              <w:t xml:space="preserve">SCORE</w:t>
            </w:r>
          </w:p>
          <w:p>
            <w:pPr>
              <w:jc w:val="center"/>
            </w:pPr>
            <w:r>
              <w:rPr>
                <w:rFonts w:ascii="Arial" w:cs="Arial" w:eastAsia="Arial" w:hAnsi="Arial"/>
                <w:b/>
                <w:bCs/>
                <w:color w:val="FFFFFF"/>
                <w:sz w:val="18"/>
                <w:szCs w:val="18"/>
              </w:rPr>
              <w:t xml:space="preserve">Core</w:t>
            </w:r>
          </w:p>
        </w:tc>
        <w:tc>
          <w:tcPr>
            <w:tcW w:type="dxa" w:w="1560"/>
            <w:tcBorders>
              <w:top w:val="single" w:color="1F3864" w:sz="1"/>
              <w:left w:val="single" w:color="1F3864" w:sz="1"/>
              <w:bottom w:val="single" w:color="1F3864" w:sz="1"/>
              <w:right w:val="single" w:color="1F3864" w:sz="1"/>
            </w:tcBorders>
            <w:shd w:fill="2E75B6" w:val="clear"/>
            <w:tcMar>
              <w:top w:type="dxa" w:w="80"/>
              <w:left w:type="dxa" w:w="80"/>
              <w:bottom w:type="dxa" w:w="80"/>
              <w:right w:type="dxa" w:w="80"/>
            </w:tcMar>
          </w:tcPr>
          <w:p>
            <w:pPr>
              <w:jc w:val="center"/>
            </w:pPr>
            <w:r>
              <w:rPr>
                <w:rFonts w:ascii="Arial" w:cs="Arial" w:eastAsia="Arial" w:hAnsi="Arial"/>
                <w:color w:val="D6E4F0"/>
                <w:sz w:val="15"/>
                <w:szCs w:val="15"/>
              </w:rPr>
              <w:t xml:space="preserve">LEVEL</w:t>
            </w:r>
          </w:p>
          <w:p>
            <w:pPr>
              <w:jc w:val="center"/>
            </w:pPr>
            <w:r>
              <w:rPr>
                <w:rFonts w:ascii="Arial" w:cs="Arial" w:eastAsia="Arial" w:hAnsi="Arial"/>
                <w:b/>
                <w:bCs/>
                <w:color w:val="FFFFFF"/>
                <w:sz w:val="18"/>
                <w:szCs w:val="18"/>
              </w:rPr>
              <w:t xml:space="preserve">PGY 4–5</w:t>
            </w:r>
          </w:p>
        </w:tc>
        <w:tc>
          <w:tcPr>
            <w:tcW w:type="dxa" w:w="1560"/>
            <w:tcBorders>
              <w:top w:val="single" w:color="1F3864" w:sz="1"/>
              <w:left w:val="single" w:color="1F3864" w:sz="1"/>
              <w:bottom w:val="single" w:color="1F3864" w:sz="1"/>
              <w:right w:val="single" w:color="1F3864" w:sz="1"/>
            </w:tcBorders>
            <w:shd w:fill="2E75B6" w:val="clear"/>
            <w:tcMar>
              <w:top w:type="dxa" w:w="80"/>
              <w:left w:type="dxa" w:w="80"/>
              <w:bottom w:type="dxa" w:w="80"/>
              <w:right w:type="dxa" w:w="80"/>
            </w:tcMar>
          </w:tcPr>
          <w:p>
            <w:pPr>
              <w:jc w:val="center"/>
            </w:pPr>
            <w:r>
              <w:rPr>
                <w:rFonts w:ascii="Arial" w:cs="Arial" w:eastAsia="Arial" w:hAnsi="Arial"/>
                <w:color w:val="D6E4F0"/>
                <w:sz w:val="15"/>
                <w:szCs w:val="15"/>
              </w:rPr>
              <w:t xml:space="preserve">DOMAIN</w:t>
            </w:r>
          </w:p>
          <w:p>
            <w:pPr>
              <w:jc w:val="center"/>
            </w:pPr>
            <w:r>
              <w:rPr>
                <w:rFonts w:ascii="Arial" w:cs="Arial" w:eastAsia="Arial" w:hAnsi="Arial"/>
                <w:b/>
                <w:bCs/>
                <w:color w:val="FFFFFF"/>
                <w:sz w:val="15"/>
                <w:szCs w:val="15"/>
              </w:rPr>
              <w:t xml:space="preserve">GI/Oncology</w:t>
            </w:r>
          </w:p>
        </w:tc>
      </w:tr>
    </w:tbl>
    <w:p>
      <w:pPr>
        <w:spacing w:before="0"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1F3864" w:val="clear"/>
            <w:tcMar>
              <w:top w:type="dxa" w:w="60"/>
              <w:left w:type="dxa" w:w="120"/>
              <w:bottom w:type="dxa" w:w="60"/>
              <w:right w:type="dxa" w:w="120"/>
            </w:tcMar>
          </w:tcPr>
          <w:p>
            <w:r>
              <w:rPr>
                <w:rFonts w:ascii="Arial" w:cs="Arial" w:eastAsia="Arial" w:hAnsi="Arial"/>
                <w:b/>
                <w:bCs/>
                <w:color w:val="FFFFFF"/>
                <w:sz w:val="20"/>
                <w:szCs w:val="20"/>
              </w:rPr>
              <w:t xml:space="preserve">PATIENT STEM — Read aloud to candidate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CCCCCC" w:sz="1"/>
            </w:tcBorders>
            <w:shd w:fill="D6E4F0" w:val="clear"/>
            <w:tcMar>
              <w:top w:type="dxa" w:w="100"/>
              <w:left w:type="dxa" w:w="160"/>
              <w:bottom w:type="dxa" w:w="100"/>
              <w:right w:type="dxa" w:w="160"/>
            </w:tcMar>
          </w:tcPr>
          <w:p>
            <w:r>
              <w:rPr>
                <w:rFonts w:ascii="Arial" w:cs="Arial" w:eastAsia="Arial" w:hAnsi="Arial"/>
                <w:color w:val="404040"/>
                <w:sz w:val="22"/>
                <w:szCs w:val="22"/>
              </w:rPr>
              <w:t xml:space="preserve">A 65-year-old male presents with 6 weeks of painless jaundice, a 12-pound weight loss, and new-onset diabetes. Total bilirubin: 9.4. CA 19-9: 480. CT abdomen/pelvis with IV contrast shows a 2.8 cm hypoattenuating mass in the head of the pancreas with upstream bile duct and pancreatic duct dilation (double duct sign). No vascular involvement. No distant metastases.</w:t>
            </w:r>
          </w:p>
        </w:tc>
      </w:tr>
    </w:tbl>
    <w:p>
      <w:pPr>
        <w:spacing w:before="0"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95959" w:sz="1"/>
              <w:left w:val="single" w:color="595959" w:sz="1"/>
              <w:bottom w:val="single" w:color="595959" w:sz="1"/>
              <w:right w:val="single" w:color="595959" w:sz="1"/>
            </w:tcBorders>
            <w:shd w:fill="595959" w:val="clear"/>
            <w:tcMar>
              <w:top w:type="dxa" w:w="60"/>
              <w:left w:type="dxa" w:w="120"/>
              <w:bottom w:type="dxa" w:w="60"/>
              <w:right w:type="dxa" w:w="120"/>
            </w:tcMar>
          </w:tcPr>
          <w:p>
            <w:r>
              <w:rPr>
                <w:rFonts w:ascii="Arial" w:cs="Arial" w:eastAsia="Arial" w:hAnsi="Arial"/>
                <w:b/>
                <w:bCs/>
                <w:color w:val="FFFFFF"/>
                <w:sz w:val="20"/>
                <w:szCs w:val="20"/>
              </w:rPr>
              <w:t xml:space="preserve">EXAMINER INSTRUCTIONS</w:t>
            </w:r>
          </w:p>
        </w:tc>
      </w:tr>
    </w:tbl>
    <w:p>
      <w:pPr>
        <w:spacing w:before="40" w:after="80"/>
      </w:pPr>
      <w:r>
        <w:rPr>
          <w:rFonts w:ascii="Arial" w:cs="Arial" w:eastAsia="Arial" w:hAnsi="Arial"/>
          <w:i/>
          <w:iCs/>
          <w:color w:val="404040"/>
          <w:sz w:val="20"/>
          <w:szCs w:val="20"/>
        </w:rPr>
        <w:t xml:space="preserve">This is a resectable pancreatic head adenocarcinoma. Test the resectability criteria (borderline vs locally advanced vs resectable), the indication for preoperative biliary drainage, and the complete Whipple (pancreaticoduodenectomy) procedure in detail. Also test adjuvant chemotherapy.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1F3864" w:val="clear"/>
            <w:tcMar>
              <w:top w:type="dxa" w:w="60"/>
              <w:left w:type="dxa" w:w="120"/>
              <w:bottom w:type="dxa" w:w="60"/>
              <w:right w:type="dxa" w:w="120"/>
            </w:tcMar>
          </w:tcPr>
          <w:p>
            <w:r>
              <w:rPr>
                <w:rFonts w:ascii="Arial" w:cs="Arial" w:eastAsia="Arial" w:hAnsi="Arial"/>
                <w:b/>
                <w:bCs/>
                <w:color w:val="FFFFFF"/>
                <w:sz w:val="20"/>
                <w:szCs w:val="20"/>
              </w:rPr>
              <w:t xml:space="preserve">CLINICAL QUESTIONS &amp; EXPECTED RESPONSES</w:t>
            </w:r>
          </w:p>
        </w:tc>
      </w:tr>
    </w:tbl>
    <w:p>
      <w:pPr>
        <w:spacing w:before="0"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pPr>
              <w:jc w:val="center"/>
            </w:pPr>
            <w:r>
              <w:rPr>
                <w:rFonts w:ascii="Arial" w:cs="Arial" w:eastAsia="Arial" w:hAnsi="Arial"/>
                <w:b/>
                <w:bCs/>
                <w:color w:val="FFFFFF"/>
                <w:sz w:val="20"/>
                <w:szCs w:val="20"/>
              </w:rPr>
              <w:t xml:space="preserve">Q1</w:t>
            </w:r>
          </w:p>
        </w:tc>
        <w:tc>
          <w:tcPr>
            <w:tcW w:type="dxa" w:w="8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21"/>
                <w:szCs w:val="21"/>
              </w:rPr>
              <w:t xml:space="preserve">What is the differential diagnosis for a pancreatic head mass with jaundice?</w:t>
            </w:r>
          </w:p>
        </w:tc>
      </w:tr>
      <w:tr>
        <w:tc>
          <w:tcPr>
            <w:tcW w:type="dxa" w:w="60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jc w:val="center"/>
            </w:pPr>
            <w:r>
              <w:rPr>
                <w:rFonts w:ascii="Arial" w:cs="Arial" w:eastAsia="Arial" w:hAnsi="Arial"/>
                <w:b/>
                <w:bCs/>
                <w:color w:val="375623"/>
                <w:sz w:val="18"/>
                <w:szCs w:val="18"/>
              </w:rPr>
              <w:t xml:space="preserve">►</w:t>
            </w:r>
          </w:p>
        </w:tc>
        <w:tc>
          <w:tcPr>
            <w:tcW w:type="dxa" w:w="8760"/>
            <w:tcBorders>
              <w:top w:val="single" w:color="CCCCCC" w:sz="1"/>
              <w:left w:val="single" w:color="CCCCCC" w:sz="1"/>
              <w:bottom w:val="single" w:color="CCCCCC" w:sz="1"/>
              <w:right w:val="single" w:color="CCCCCC" w:sz="1"/>
            </w:tcBorders>
            <w:shd w:fill="F9FDF5" w:val="clear"/>
            <w:tcMar>
              <w:top w:type="dxa" w:w="60"/>
              <w:left w:type="dxa" w:w="120"/>
              <w:bottom w:type="dxa" w:w="60"/>
              <w:right w:type="dxa" w:w="120"/>
            </w:tcMar>
          </w:tcPr>
          <w:p>
            <w:pPr>
              <w:pStyle w:val="ListParagraph"/>
              <w:numPr>
                <w:ilvl w:val="0"/>
                <w:numId w:val="2"/>
              </w:numPr>
              <w:spacing w:before="20" w:after="20"/>
            </w:pPr>
            <w:r>
              <w:rPr>
                <w:rFonts w:ascii="Arial" w:cs="Arial" w:eastAsia="Arial" w:hAnsi="Arial"/>
                <w:color w:val="404040"/>
                <w:sz w:val="20"/>
                <w:szCs w:val="20"/>
              </w:rPr>
              <w:t xml:space="preserve">Pancreatic ductal adenocarcinoma (PDAC): most likely — 85% of pancreatic malignancies; classic painless jaundice + weight loss + double duct sign</w:t>
            </w:r>
          </w:p>
          <w:p>
            <w:pPr>
              <w:pStyle w:val="ListParagraph"/>
              <w:numPr>
                <w:ilvl w:val="0"/>
                <w:numId w:val="2"/>
              </w:numPr>
              <w:spacing w:before="20" w:after="20"/>
            </w:pPr>
            <w:r>
              <w:rPr>
                <w:rFonts w:ascii="Arial" w:cs="Arial" w:eastAsia="Arial" w:hAnsi="Arial"/>
                <w:color w:val="404040"/>
                <w:sz w:val="20"/>
                <w:szCs w:val="20"/>
              </w:rPr>
              <w:t xml:space="preserve">Distal CBD cholangiocarcinoma: also presents with jaundice + mass; may be difficult to distinguish pre-op</w:t>
            </w:r>
          </w:p>
          <w:p>
            <w:pPr>
              <w:pStyle w:val="ListParagraph"/>
              <w:numPr>
                <w:ilvl w:val="0"/>
                <w:numId w:val="2"/>
              </w:numPr>
              <w:spacing w:before="20" w:after="20"/>
            </w:pPr>
            <w:r>
              <w:rPr>
                <w:rFonts w:ascii="Arial" w:cs="Arial" w:eastAsia="Arial" w:hAnsi="Arial"/>
                <w:color w:val="404040"/>
                <w:sz w:val="20"/>
                <w:szCs w:val="20"/>
              </w:rPr>
              <w:t xml:space="preserve">Ampullary carcinoma: arises from ampulla of Vater; often presents with earlier jaundice, better prognosis</w:t>
            </w:r>
          </w:p>
          <w:p>
            <w:pPr>
              <w:pStyle w:val="ListParagraph"/>
              <w:numPr>
                <w:ilvl w:val="0"/>
                <w:numId w:val="2"/>
              </w:numPr>
              <w:spacing w:before="20" w:after="20"/>
            </w:pPr>
            <w:r>
              <w:rPr>
                <w:rFonts w:ascii="Arial" w:cs="Arial" w:eastAsia="Arial" w:hAnsi="Arial"/>
                <w:color w:val="404040"/>
                <w:sz w:val="20"/>
                <w:szCs w:val="20"/>
              </w:rPr>
              <w:t xml:space="preserve">Duodenal adenocarcinoma: mass may obstruct ampulla</w:t>
            </w:r>
          </w:p>
          <w:p>
            <w:pPr>
              <w:pStyle w:val="ListParagraph"/>
              <w:numPr>
                <w:ilvl w:val="0"/>
                <w:numId w:val="2"/>
              </w:numPr>
              <w:spacing w:before="20" w:after="20"/>
            </w:pPr>
            <w:r>
              <w:rPr>
                <w:rFonts w:ascii="Arial" w:cs="Arial" w:eastAsia="Arial" w:hAnsi="Arial"/>
                <w:color w:val="404040"/>
                <w:sz w:val="20"/>
                <w:szCs w:val="20"/>
              </w:rPr>
              <w:t xml:space="preserve">Autoimmune pancreatitis (IgG4): benign; mass-forming pancreatitis; responds to steroids — check IgG4 level before proceeding to operation</w:t>
            </w:r>
          </w:p>
          <w:p>
            <w:pPr>
              <w:pStyle w:val="ListParagraph"/>
              <w:numPr>
                <w:ilvl w:val="0"/>
                <w:numId w:val="2"/>
              </w:numPr>
              <w:spacing w:before="20" w:after="20"/>
            </w:pPr>
            <w:r>
              <w:rPr>
                <w:rFonts w:ascii="Arial" w:cs="Arial" w:eastAsia="Arial" w:hAnsi="Arial"/>
                <w:color w:val="404040"/>
                <w:sz w:val="20"/>
                <w:szCs w:val="20"/>
              </w:rPr>
              <w:t xml:space="preserve">Pancreatic NET (islet cell tumor): often hypervascular on contrast CT — not hypoattenuating like PDAC</w:t>
            </w:r>
          </w:p>
        </w:tc>
      </w:tr>
      <w:tr>
        <w:tc>
          <w:tcPr>
            <w:tcW w:type="dxa" w:w="6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pPr>
              <w:jc w:val="center"/>
            </w:pPr>
            <w:r>
              <w:rPr>
                <w:rFonts w:ascii="Arial" w:cs="Arial" w:eastAsia="Arial" w:hAnsi="Arial"/>
                <w:b/>
                <w:bCs/>
                <w:color w:val="FFFFFF"/>
                <w:sz w:val="20"/>
                <w:szCs w:val="20"/>
              </w:rPr>
              <w:t xml:space="preserve">Q2</w:t>
            </w:r>
          </w:p>
        </w:tc>
        <w:tc>
          <w:tcPr>
            <w:tcW w:type="dxa" w:w="8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21"/>
                <w:szCs w:val="21"/>
              </w:rPr>
              <w:t xml:space="preserve">How do you determine resectability?</w:t>
            </w:r>
          </w:p>
        </w:tc>
      </w:tr>
      <w:tr>
        <w:tc>
          <w:tcPr>
            <w:tcW w:type="dxa" w:w="60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jc w:val="center"/>
            </w:pPr>
            <w:r>
              <w:rPr>
                <w:rFonts w:ascii="Arial" w:cs="Arial" w:eastAsia="Arial" w:hAnsi="Arial"/>
                <w:b/>
                <w:bCs/>
                <w:color w:val="375623"/>
                <w:sz w:val="18"/>
                <w:szCs w:val="18"/>
              </w:rPr>
              <w:t xml:space="preserve">►</w:t>
            </w:r>
          </w:p>
        </w:tc>
        <w:tc>
          <w:tcPr>
            <w:tcW w:type="dxa" w:w="8760"/>
            <w:tcBorders>
              <w:top w:val="single" w:color="CCCCCC" w:sz="1"/>
              <w:left w:val="single" w:color="CCCCCC" w:sz="1"/>
              <w:bottom w:val="single" w:color="CCCCCC" w:sz="1"/>
              <w:right w:val="single" w:color="CCCCCC" w:sz="1"/>
            </w:tcBorders>
            <w:shd w:fill="F9FDF5" w:val="clear"/>
            <w:tcMar>
              <w:top w:type="dxa" w:w="60"/>
              <w:left w:type="dxa" w:w="120"/>
              <w:bottom w:type="dxa" w:w="60"/>
              <w:right w:type="dxa" w:w="120"/>
            </w:tcMar>
          </w:tcPr>
          <w:p>
            <w:pPr>
              <w:pStyle w:val="ListParagraph"/>
              <w:numPr>
                <w:ilvl w:val="0"/>
                <w:numId w:val="2"/>
              </w:numPr>
              <w:spacing w:before="20" w:after="20"/>
            </w:pPr>
            <w:r>
              <w:rPr>
                <w:rFonts w:ascii="Arial" w:cs="Arial" w:eastAsia="Arial" w:hAnsi="Arial"/>
                <w:color w:val="404040"/>
                <w:sz w:val="20"/>
                <w:szCs w:val="20"/>
              </w:rPr>
              <w:t xml:space="preserve">Resectability is determined by vascular involvement on high-quality CT (pancreatic protocol):</w:t>
            </w:r>
          </w:p>
          <w:p>
            <w:pPr>
              <w:pStyle w:val="ListParagraph"/>
              <w:numPr>
                <w:ilvl w:val="0"/>
                <w:numId w:val="2"/>
              </w:numPr>
              <w:spacing w:before="20" w:after="20"/>
            </w:pPr>
            <w:r>
              <w:rPr>
                <w:rFonts w:ascii="Arial" w:cs="Arial" w:eastAsia="Arial" w:hAnsi="Arial"/>
                <w:color w:val="404040"/>
                <w:sz w:val="20"/>
                <w:szCs w:val="20"/>
              </w:rPr>
              <w:t xml:space="preserve">RESECTABLE: no arterial involvement (SMA, celiac, hepatic artery); SMV/portal vein contact &lt;180° with normal vein contour; no distant metastases — this patient qualifies</w:t>
            </w:r>
          </w:p>
          <w:p>
            <w:pPr>
              <w:pStyle w:val="ListParagraph"/>
              <w:numPr>
                <w:ilvl w:val="0"/>
                <w:numId w:val="2"/>
              </w:numPr>
              <w:spacing w:before="20" w:after="20"/>
            </w:pPr>
            <w:r>
              <w:rPr>
                <w:rFonts w:ascii="Arial" w:cs="Arial" w:eastAsia="Arial" w:hAnsi="Arial"/>
                <w:color w:val="404040"/>
                <w:sz w:val="20"/>
                <w:szCs w:val="20"/>
              </w:rPr>
              <w:t xml:space="preserve">BORDERLINE RESECTABLE:</w:t>
            </w:r>
          </w:p>
          <w:p>
            <w:pPr>
              <w:pStyle w:val="ListParagraph"/>
              <w:numPr>
                <w:ilvl w:val="0"/>
                <w:numId w:val="2"/>
              </w:numPr>
              <w:spacing w:before="20" w:after="20"/>
            </w:pPr>
            <w:r>
              <w:rPr>
                <w:rFonts w:ascii="Arial" w:cs="Arial" w:eastAsia="Arial" w:hAnsi="Arial"/>
                <w:color w:val="404040"/>
                <w:sz w:val="20"/>
                <w:szCs w:val="20"/>
              </w:rPr>
              <w:t xml:space="preserve">  SMV/PV involvement: abutment ≤180° (with or without impingement); short-segment occlusion with adequate inflow/outflow for reconstruction</w:t>
            </w:r>
          </w:p>
          <w:p>
            <w:pPr>
              <w:pStyle w:val="ListParagraph"/>
              <w:numPr>
                <w:ilvl w:val="0"/>
                <w:numId w:val="2"/>
              </w:numPr>
              <w:spacing w:before="20" w:after="20"/>
            </w:pPr>
            <w:r>
              <w:rPr>
                <w:rFonts w:ascii="Arial" w:cs="Arial" w:eastAsia="Arial" w:hAnsi="Arial"/>
                <w:color w:val="404040"/>
                <w:sz w:val="20"/>
                <w:szCs w:val="20"/>
              </w:rPr>
              <w:t xml:space="preserve">  Arterial: abutment of SMA ≤180°; abutment of celiac ≤180° (body/tail tumors)</w:t>
            </w:r>
          </w:p>
          <w:p>
            <w:pPr>
              <w:pStyle w:val="ListParagraph"/>
              <w:numPr>
                <w:ilvl w:val="0"/>
                <w:numId w:val="2"/>
              </w:numPr>
              <w:spacing w:before="20" w:after="20"/>
            </w:pPr>
            <w:r>
              <w:rPr>
                <w:rFonts w:ascii="Arial" w:cs="Arial" w:eastAsia="Arial" w:hAnsi="Arial"/>
                <w:color w:val="404040"/>
                <w:sz w:val="20"/>
                <w:szCs w:val="20"/>
              </w:rPr>
              <w:t xml:space="preserve">  Hepatic artery abutment without extension to celiac or SMA</w:t>
            </w:r>
          </w:p>
          <w:p>
            <w:pPr>
              <w:pStyle w:val="ListParagraph"/>
              <w:numPr>
                <w:ilvl w:val="0"/>
                <w:numId w:val="2"/>
              </w:numPr>
              <w:spacing w:before="20" w:after="20"/>
            </w:pPr>
            <w:r>
              <w:rPr>
                <w:rFonts w:ascii="Arial" w:cs="Arial" w:eastAsia="Arial" w:hAnsi="Arial"/>
                <w:color w:val="404040"/>
                <w:sz w:val="20"/>
                <w:szCs w:val="20"/>
              </w:rPr>
              <w:t xml:space="preserve">LOCALLY ADVANCED (unresectable): &gt;180° arterial encasement, SMA or celiac encasement, SMV/PV occlusion without reconstruction options</w:t>
            </w:r>
          </w:p>
          <w:p>
            <w:pPr>
              <w:pStyle w:val="ListParagraph"/>
              <w:numPr>
                <w:ilvl w:val="0"/>
                <w:numId w:val="2"/>
              </w:numPr>
              <w:spacing w:before="20" w:after="20"/>
            </w:pPr>
            <w:r>
              <w:rPr>
                <w:rFonts w:ascii="Arial" w:cs="Arial" w:eastAsia="Arial" w:hAnsi="Arial"/>
                <w:color w:val="404040"/>
                <w:sz w:val="20"/>
                <w:szCs w:val="20"/>
              </w:rPr>
              <w:t xml:space="preserve">DISTANT METASTASES: Stage IV — palliative intent</w:t>
            </w:r>
          </w:p>
          <w:p>
            <w:pPr>
              <w:pStyle w:val="ListParagraph"/>
              <w:numPr>
                <w:ilvl w:val="0"/>
                <w:numId w:val="2"/>
              </w:numPr>
              <w:spacing w:before="20" w:after="20"/>
            </w:pPr>
            <w:r>
              <w:rPr>
                <w:rFonts w:ascii="Arial" w:cs="Arial" w:eastAsia="Arial" w:hAnsi="Arial"/>
                <w:color w:val="404040"/>
                <w:sz w:val="20"/>
                <w:szCs w:val="20"/>
              </w:rPr>
              <w:t xml:space="preserve">For borderline resectable: neoadjuvant chemotherapy (FOLFIRINOX or gemcitabine/nab-paclitaxel) is preferred to downstage before surgery</w:t>
            </w:r>
          </w:p>
        </w:tc>
      </w:tr>
      <w:tr>
        <w:tc>
          <w:tcPr>
            <w:tcW w:type="dxa" w:w="600"/>
            <w:tcBorders>
              <w:top w:val="single" w:color="CCCCCC" w:sz="1"/>
              <w:left w:val="single" w:color="CCCCCC" w:sz="1"/>
              <w:bottom w:val="single" w:color="CCCCCC" w:sz="1"/>
              <w:right w:val="single" w:color="CCCCCC" w:sz="1"/>
            </w:tcBorders>
            <w:shd w:fill="FFF2CC" w:val="clear"/>
            <w:tcMar>
              <w:top w:type="dxa" w:w="60"/>
              <w:left w:type="dxa" w:w="80"/>
              <w:bottom w:type="dxa" w:w="60"/>
              <w:right w:type="dxa" w:w="80"/>
            </w:tcMar>
          </w:tcPr>
          <w:p>
            <w:pPr>
              <w:jc w:val="center"/>
            </w:pPr>
            <w:r>
              <w:rPr>
                <w:rFonts w:ascii="Arial" w:cs="Arial" w:eastAsia="Arial" w:hAnsi="Arial"/>
                <w:b/>
                <w:bCs/>
                <w:color w:val="7F6000"/>
                <w:sz w:val="18"/>
                <w:szCs w:val="18"/>
              </w:rPr>
              <w:t xml:space="preserve">!</w:t>
            </w:r>
          </w:p>
        </w:tc>
        <w:tc>
          <w:tcPr>
            <w:tcW w:type="dxa" w:w="876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r>
              <w:rPr>
                <w:rFonts w:ascii="Arial" w:cs="Arial" w:eastAsia="Arial" w:hAnsi="Arial"/>
                <w:b/>
                <w:bCs/>
                <w:color w:val="7F6000"/>
                <w:sz w:val="19"/>
                <w:szCs w:val="19"/>
              </w:rPr>
              <w:t xml:space="preserve">Examiner note: </w:t>
            </w:r>
            <w:r>
              <w:rPr>
                <w:rFonts w:ascii="Arial" w:cs="Arial" w:eastAsia="Arial" w:hAnsi="Arial"/>
                <w:i/>
                <w:iCs/>
                <w:color w:val="404040"/>
                <w:sz w:val="19"/>
                <w:szCs w:val="19"/>
              </w:rPr>
              <w:t xml:space="preserve">Resectability classification drives the entire treatment algorithm. Candidates must know the specific vascular thresholds.</w:t>
            </w:r>
          </w:p>
        </w:tc>
      </w:tr>
      <w:tr>
        <w:tc>
          <w:tcPr>
            <w:tcW w:type="dxa" w:w="6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pPr>
              <w:jc w:val="center"/>
            </w:pPr>
            <w:r>
              <w:rPr>
                <w:rFonts w:ascii="Arial" w:cs="Arial" w:eastAsia="Arial" w:hAnsi="Arial"/>
                <w:b/>
                <w:bCs/>
                <w:color w:val="FFFFFF"/>
                <w:sz w:val="20"/>
                <w:szCs w:val="20"/>
              </w:rPr>
              <w:t xml:space="preserve">Q3</w:t>
            </w:r>
          </w:p>
        </w:tc>
        <w:tc>
          <w:tcPr>
            <w:tcW w:type="dxa" w:w="8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21"/>
                <w:szCs w:val="21"/>
              </w:rPr>
              <w:t xml:space="preserve">Should this patient have preoperative biliary drainage?</w:t>
            </w:r>
          </w:p>
        </w:tc>
      </w:tr>
      <w:tr>
        <w:tc>
          <w:tcPr>
            <w:tcW w:type="dxa" w:w="60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jc w:val="center"/>
            </w:pPr>
            <w:r>
              <w:rPr>
                <w:rFonts w:ascii="Arial" w:cs="Arial" w:eastAsia="Arial" w:hAnsi="Arial"/>
                <w:b/>
                <w:bCs/>
                <w:color w:val="375623"/>
                <w:sz w:val="18"/>
                <w:szCs w:val="18"/>
              </w:rPr>
              <w:t xml:space="preserve">►</w:t>
            </w:r>
          </w:p>
        </w:tc>
        <w:tc>
          <w:tcPr>
            <w:tcW w:type="dxa" w:w="8760"/>
            <w:tcBorders>
              <w:top w:val="single" w:color="CCCCCC" w:sz="1"/>
              <w:left w:val="single" w:color="CCCCCC" w:sz="1"/>
              <w:bottom w:val="single" w:color="CCCCCC" w:sz="1"/>
              <w:right w:val="single" w:color="CCCCCC" w:sz="1"/>
            </w:tcBorders>
            <w:shd w:fill="F9FDF5" w:val="clear"/>
            <w:tcMar>
              <w:top w:type="dxa" w:w="60"/>
              <w:left w:type="dxa" w:w="120"/>
              <w:bottom w:type="dxa" w:w="60"/>
              <w:right w:type="dxa" w:w="120"/>
            </w:tcMar>
          </w:tcPr>
          <w:p>
            <w:pPr>
              <w:pStyle w:val="ListParagraph"/>
              <w:numPr>
                <w:ilvl w:val="0"/>
                <w:numId w:val="2"/>
              </w:numPr>
              <w:spacing w:before="20" w:after="20"/>
            </w:pPr>
            <w:r>
              <w:rPr>
                <w:rFonts w:ascii="Arial" w:cs="Arial" w:eastAsia="Arial" w:hAnsi="Arial"/>
                <w:color w:val="404040"/>
                <w:sz w:val="20"/>
                <w:szCs w:val="20"/>
              </w:rPr>
              <w:t xml:space="preserve">Preoperative biliary drainage is NOT routinely recommended for resectable pancreatic head cancer</w:t>
            </w:r>
          </w:p>
          <w:p>
            <w:pPr>
              <w:pStyle w:val="ListParagraph"/>
              <w:numPr>
                <w:ilvl w:val="0"/>
                <w:numId w:val="2"/>
              </w:numPr>
              <w:spacing w:before="20" w:after="20"/>
            </w:pPr>
            <w:r>
              <w:rPr>
                <w:rFonts w:ascii="Arial" w:cs="Arial" w:eastAsia="Arial" w:hAnsi="Arial"/>
                <w:color w:val="404040"/>
                <w:sz w:val="20"/>
                <w:szCs w:val="20"/>
              </w:rPr>
              <w:t xml:space="preserve">POPULAIRE-T trial and meta-analyses: routine preoperative biliary drainage increases infectious complications (cholangitis, wound infection) without improving outcomes</w:t>
            </w:r>
          </w:p>
          <w:p>
            <w:pPr>
              <w:pStyle w:val="ListParagraph"/>
              <w:numPr>
                <w:ilvl w:val="0"/>
                <w:numId w:val="2"/>
              </w:numPr>
              <w:spacing w:before="20" w:after="20"/>
            </w:pPr>
            <w:r>
              <w:rPr>
                <w:rFonts w:ascii="Arial" w:cs="Arial" w:eastAsia="Arial" w:hAnsi="Arial"/>
                <w:color w:val="404040"/>
                <w:sz w:val="20"/>
                <w:szCs w:val="20"/>
              </w:rPr>
              <w:t xml:space="preserve">Drainage indications:</w:t>
            </w:r>
          </w:p>
          <w:p>
            <w:pPr>
              <w:pStyle w:val="ListParagraph"/>
              <w:numPr>
                <w:ilvl w:val="0"/>
                <w:numId w:val="2"/>
              </w:numPr>
              <w:spacing w:before="20" w:after="20"/>
            </w:pPr>
            <w:r>
              <w:rPr>
                <w:rFonts w:ascii="Arial" w:cs="Arial" w:eastAsia="Arial" w:hAnsi="Arial"/>
                <w:color w:val="404040"/>
                <w:sz w:val="20"/>
                <w:szCs w:val="20"/>
              </w:rPr>
              <w:t xml:space="preserve">  Severe, symptomatic jaundice (total bilirubin &gt;10–15) with delayed surgery</w:t>
            </w:r>
          </w:p>
          <w:p>
            <w:pPr>
              <w:pStyle w:val="ListParagraph"/>
              <w:numPr>
                <w:ilvl w:val="0"/>
                <w:numId w:val="2"/>
              </w:numPr>
              <w:spacing w:before="20" w:after="20"/>
            </w:pPr>
            <w:r>
              <w:rPr>
                <w:rFonts w:ascii="Arial" w:cs="Arial" w:eastAsia="Arial" w:hAnsi="Arial"/>
                <w:color w:val="404040"/>
                <w:sz w:val="20"/>
                <w:szCs w:val="20"/>
              </w:rPr>
              <w:t xml:space="preserve">  Cholangitis — mandatory drainage</w:t>
            </w:r>
          </w:p>
          <w:p>
            <w:pPr>
              <w:pStyle w:val="ListParagraph"/>
              <w:numPr>
                <w:ilvl w:val="0"/>
                <w:numId w:val="2"/>
              </w:numPr>
              <w:spacing w:before="20" w:after="20"/>
            </w:pPr>
            <w:r>
              <w:rPr>
                <w:rFonts w:ascii="Arial" w:cs="Arial" w:eastAsia="Arial" w:hAnsi="Arial"/>
                <w:color w:val="404040"/>
                <w:sz w:val="20"/>
                <w:szCs w:val="20"/>
              </w:rPr>
              <w:t xml:space="preserve">  Significant symptoms (pruritus) or renal dysfunction</w:t>
            </w:r>
          </w:p>
          <w:p>
            <w:pPr>
              <w:pStyle w:val="ListParagraph"/>
              <w:numPr>
                <w:ilvl w:val="0"/>
                <w:numId w:val="2"/>
              </w:numPr>
              <w:spacing w:before="20" w:after="20"/>
            </w:pPr>
            <w:r>
              <w:rPr>
                <w:rFonts w:ascii="Arial" w:cs="Arial" w:eastAsia="Arial" w:hAnsi="Arial"/>
                <w:color w:val="404040"/>
                <w:sz w:val="20"/>
                <w:szCs w:val="20"/>
              </w:rPr>
              <w:t xml:space="preserve">  Neoadjuvant chemotherapy planned: drain before starting systemic therapy (chemotherapy requires reasonable liver function)</w:t>
            </w:r>
          </w:p>
          <w:p>
            <w:pPr>
              <w:pStyle w:val="ListParagraph"/>
              <w:numPr>
                <w:ilvl w:val="0"/>
                <w:numId w:val="2"/>
              </w:numPr>
              <w:spacing w:before="20" w:after="20"/>
            </w:pPr>
            <w:r>
              <w:rPr>
                <w:rFonts w:ascii="Arial" w:cs="Arial" w:eastAsia="Arial" w:hAnsi="Arial"/>
                <w:color w:val="404040"/>
                <w:sz w:val="20"/>
                <w:szCs w:val="20"/>
              </w:rPr>
              <w:t xml:space="preserve">If drainage is needed: ERCP with metallic stent (longer patency) or plastic stent; if ERCP fails — PTC (percutaneous transhepatic cholangiography)</w:t>
            </w:r>
          </w:p>
          <w:p>
            <w:pPr>
              <w:pStyle w:val="ListParagraph"/>
              <w:numPr>
                <w:ilvl w:val="0"/>
                <w:numId w:val="2"/>
              </w:numPr>
              <w:spacing w:before="20" w:after="20"/>
            </w:pPr>
            <w:r>
              <w:rPr>
                <w:rFonts w:ascii="Arial" w:cs="Arial" w:eastAsia="Arial" w:hAnsi="Arial"/>
                <w:color w:val="404040"/>
                <w:sz w:val="20"/>
                <w:szCs w:val="20"/>
              </w:rPr>
              <w:t xml:space="preserve">This patient: bilirubin 9.4, no cholangitis, surgery can proceed promptly — drainage NOT needed if operating within 1–2 weeks</w:t>
            </w:r>
          </w:p>
        </w:tc>
      </w:tr>
      <w:tr>
        <w:tc>
          <w:tcPr>
            <w:tcW w:type="dxa" w:w="600"/>
            <w:tcBorders>
              <w:top w:val="single" w:color="CCCCCC" w:sz="1"/>
              <w:left w:val="single" w:color="CCCCCC" w:sz="1"/>
              <w:bottom w:val="single" w:color="CCCCCC" w:sz="1"/>
              <w:right w:val="single" w:color="CCCCCC" w:sz="1"/>
            </w:tcBorders>
            <w:shd w:fill="FFF2CC" w:val="clear"/>
            <w:tcMar>
              <w:top w:type="dxa" w:w="60"/>
              <w:left w:type="dxa" w:w="80"/>
              <w:bottom w:type="dxa" w:w="60"/>
              <w:right w:type="dxa" w:w="80"/>
            </w:tcMar>
          </w:tcPr>
          <w:p>
            <w:pPr>
              <w:jc w:val="center"/>
            </w:pPr>
            <w:r>
              <w:rPr>
                <w:rFonts w:ascii="Arial" w:cs="Arial" w:eastAsia="Arial" w:hAnsi="Arial"/>
                <w:b/>
                <w:bCs/>
                <w:color w:val="7F6000"/>
                <w:sz w:val="18"/>
                <w:szCs w:val="18"/>
              </w:rPr>
              <w:t xml:space="preserve">!</w:t>
            </w:r>
          </w:p>
        </w:tc>
        <w:tc>
          <w:tcPr>
            <w:tcW w:type="dxa" w:w="876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r>
              <w:rPr>
                <w:rFonts w:ascii="Arial" w:cs="Arial" w:eastAsia="Arial" w:hAnsi="Arial"/>
                <w:b/>
                <w:bCs/>
                <w:color w:val="7F6000"/>
                <w:sz w:val="19"/>
                <w:szCs w:val="19"/>
              </w:rPr>
              <w:t xml:space="preserve">Examiner note: </w:t>
            </w:r>
            <w:r>
              <w:rPr>
                <w:rFonts w:ascii="Arial" w:cs="Arial" w:eastAsia="Arial" w:hAnsi="Arial"/>
                <w:i/>
                <w:iCs/>
                <w:color w:val="404040"/>
                <w:sz w:val="19"/>
                <w:szCs w:val="19"/>
              </w:rPr>
              <w:t xml:space="preserve">Routine preoperative biliary drainage is one of the most commonly tested points. The answer is: do NOT drain unless cholangitis, very high bilirubin with delayed surgery, or neoadjuvant therapy planned.</w:t>
            </w:r>
          </w:p>
        </w:tc>
      </w:tr>
      <w:tr>
        <w:tc>
          <w:tcPr>
            <w:tcW w:type="dxa" w:w="6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pPr>
              <w:jc w:val="center"/>
            </w:pPr>
            <w:r>
              <w:rPr>
                <w:rFonts w:ascii="Arial" w:cs="Arial" w:eastAsia="Arial" w:hAnsi="Arial"/>
                <w:b/>
                <w:bCs/>
                <w:color w:val="FFFFFF"/>
                <w:sz w:val="20"/>
                <w:szCs w:val="20"/>
              </w:rPr>
              <w:t xml:space="preserve">Q4</w:t>
            </w:r>
          </w:p>
        </w:tc>
        <w:tc>
          <w:tcPr>
            <w:tcW w:type="dxa" w:w="8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21"/>
                <w:szCs w:val="21"/>
              </w:rPr>
              <w:t xml:space="preserve">Describe the Whipple procedure (pancreaticoduodenectomy) step by step.</w:t>
            </w:r>
          </w:p>
        </w:tc>
      </w:tr>
      <w:tr>
        <w:tc>
          <w:tcPr>
            <w:tcW w:type="dxa" w:w="60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jc w:val="center"/>
            </w:pPr>
            <w:r>
              <w:rPr>
                <w:rFonts w:ascii="Arial" w:cs="Arial" w:eastAsia="Arial" w:hAnsi="Arial"/>
                <w:b/>
                <w:bCs/>
                <w:color w:val="375623"/>
                <w:sz w:val="18"/>
                <w:szCs w:val="18"/>
              </w:rPr>
              <w:t xml:space="preserve">►</w:t>
            </w:r>
          </w:p>
        </w:tc>
        <w:tc>
          <w:tcPr>
            <w:tcW w:type="dxa" w:w="8760"/>
            <w:tcBorders>
              <w:top w:val="single" w:color="CCCCCC" w:sz="1"/>
              <w:left w:val="single" w:color="CCCCCC" w:sz="1"/>
              <w:bottom w:val="single" w:color="CCCCCC" w:sz="1"/>
              <w:right w:val="single" w:color="CCCCCC" w:sz="1"/>
            </w:tcBorders>
            <w:shd w:fill="F9FDF5" w:val="clear"/>
            <w:tcMar>
              <w:top w:type="dxa" w:w="60"/>
              <w:left w:type="dxa" w:w="120"/>
              <w:bottom w:type="dxa" w:w="60"/>
              <w:right w:type="dxa" w:w="120"/>
            </w:tcMar>
          </w:tcPr>
          <w:p>
            <w:pPr>
              <w:pStyle w:val="ListParagraph"/>
              <w:numPr>
                <w:ilvl w:val="0"/>
                <w:numId w:val="2"/>
              </w:numPr>
              <w:spacing w:before="20" w:after="20"/>
            </w:pPr>
            <w:r>
              <w:rPr>
                <w:rFonts w:ascii="Arial" w:cs="Arial" w:eastAsia="Arial" w:hAnsi="Arial"/>
                <w:color w:val="404040"/>
                <w:sz w:val="20"/>
                <w:szCs w:val="20"/>
              </w:rPr>
              <w:t xml:space="preserve">RESECTION phase:</w:t>
            </w:r>
          </w:p>
          <w:p>
            <w:pPr>
              <w:pStyle w:val="ListParagraph"/>
              <w:numPr>
                <w:ilvl w:val="0"/>
                <w:numId w:val="2"/>
              </w:numPr>
              <w:spacing w:before="20" w:after="20"/>
            </w:pPr>
            <w:r>
              <w:rPr>
                <w:rFonts w:ascii="Arial" w:cs="Arial" w:eastAsia="Arial" w:hAnsi="Arial"/>
                <w:color w:val="404040"/>
                <w:sz w:val="20"/>
                <w:szCs w:val="20"/>
              </w:rPr>
              <w:t xml:space="preserve">  1. Exposure: Kocher maneuver — mobilize duodenum and head of pancreas off the retroperitoneum and vena cava; assess posterior resectability</w:t>
            </w:r>
          </w:p>
          <w:p>
            <w:pPr>
              <w:pStyle w:val="ListParagraph"/>
              <w:numPr>
                <w:ilvl w:val="0"/>
                <w:numId w:val="2"/>
              </w:numPr>
              <w:spacing w:before="20" w:after="20"/>
            </w:pPr>
            <w:r>
              <w:rPr>
                <w:rFonts w:ascii="Arial" w:cs="Arial" w:eastAsia="Arial" w:hAnsi="Arial"/>
                <w:color w:val="404040"/>
                <w:sz w:val="20"/>
                <w:szCs w:val="20"/>
              </w:rPr>
              <w:t xml:space="preserve">  2. Divide the gastrocolic ligament; enter the lesser sac; visualize the anterior surface of the pancreas</w:t>
            </w:r>
          </w:p>
          <w:p>
            <w:pPr>
              <w:pStyle w:val="ListParagraph"/>
              <w:numPr>
                <w:ilvl w:val="0"/>
                <w:numId w:val="2"/>
              </w:numPr>
              <w:spacing w:before="20" w:after="20"/>
            </w:pPr>
            <w:r>
              <w:rPr>
                <w:rFonts w:ascii="Arial" w:cs="Arial" w:eastAsia="Arial" w:hAnsi="Arial"/>
                <w:color w:val="404040"/>
                <w:sz w:val="20"/>
                <w:szCs w:val="20"/>
              </w:rPr>
              <w:t xml:space="preserve">  3. Confirm resectability: no involvement of the SMV/PV tunnel under the pancreatic neck</w:t>
            </w:r>
          </w:p>
          <w:p>
            <w:pPr>
              <w:pStyle w:val="ListParagraph"/>
              <w:numPr>
                <w:ilvl w:val="0"/>
                <w:numId w:val="2"/>
              </w:numPr>
              <w:spacing w:before="20" w:after="20"/>
            </w:pPr>
            <w:r>
              <w:rPr>
                <w:rFonts w:ascii="Arial" w:cs="Arial" w:eastAsia="Arial" w:hAnsi="Arial"/>
                <w:color w:val="404040"/>
                <w:sz w:val="20"/>
                <w:szCs w:val="20"/>
              </w:rPr>
              <w:t xml:space="preserve">  4. SMV/PV tunnel: develop the tunnel between the pancreatic neck and the portal vein with blunt dissection — this confirms resectability</w:t>
            </w:r>
          </w:p>
          <w:p>
            <w:pPr>
              <w:pStyle w:val="ListParagraph"/>
              <w:numPr>
                <w:ilvl w:val="0"/>
                <w:numId w:val="2"/>
              </w:numPr>
              <w:spacing w:before="20" w:after="20"/>
            </w:pPr>
            <w:r>
              <w:rPr>
                <w:rFonts w:ascii="Arial" w:cs="Arial" w:eastAsia="Arial" w:hAnsi="Arial"/>
                <w:color w:val="404040"/>
                <w:sz w:val="20"/>
                <w:szCs w:val="20"/>
              </w:rPr>
              <w:t xml:space="preserve">  5. Divide the common bile duct above the cystic duct entry</w:t>
            </w:r>
          </w:p>
          <w:p>
            <w:pPr>
              <w:pStyle w:val="ListParagraph"/>
              <w:numPr>
                <w:ilvl w:val="0"/>
                <w:numId w:val="2"/>
              </w:numPr>
              <w:spacing w:before="20" w:after="20"/>
            </w:pPr>
            <w:r>
              <w:rPr>
                <w:rFonts w:ascii="Arial" w:cs="Arial" w:eastAsia="Arial" w:hAnsi="Arial"/>
                <w:color w:val="404040"/>
                <w:sz w:val="20"/>
                <w:szCs w:val="20"/>
              </w:rPr>
              <w:t xml:space="preserve">  6. Divide the distal stomach (standard Whipple) or proximal duodenum 2–3 cm distal to the pylorus (pylorus-preserving Whipple, PPPD)</w:t>
            </w:r>
          </w:p>
          <w:p>
            <w:pPr>
              <w:pStyle w:val="ListParagraph"/>
              <w:numPr>
                <w:ilvl w:val="0"/>
                <w:numId w:val="2"/>
              </w:numPr>
              <w:spacing w:before="20" w:after="20"/>
            </w:pPr>
            <w:r>
              <w:rPr>
                <w:rFonts w:ascii="Arial" w:cs="Arial" w:eastAsia="Arial" w:hAnsi="Arial"/>
                <w:color w:val="404040"/>
                <w:sz w:val="20"/>
                <w:szCs w:val="20"/>
              </w:rPr>
              <w:t xml:space="preserve">  7. Divide the pancreatic neck over the portal vein with cautery or knife — ensure frozen section of pancreatic neck margin</w:t>
            </w:r>
          </w:p>
          <w:p>
            <w:pPr>
              <w:pStyle w:val="ListParagraph"/>
              <w:numPr>
                <w:ilvl w:val="0"/>
                <w:numId w:val="2"/>
              </w:numPr>
              <w:spacing w:before="20" w:after="20"/>
            </w:pPr>
            <w:r>
              <w:rPr>
                <w:rFonts w:ascii="Arial" w:cs="Arial" w:eastAsia="Arial" w:hAnsi="Arial"/>
                <w:color w:val="404040"/>
                <w:sz w:val="20"/>
                <w:szCs w:val="20"/>
              </w:rPr>
              <w:t xml:space="preserve">  8. Divide the proximal jejunum 10–15 cm distal to the Treitz ligament; bring Roux limb through the transverse mesocolon</w:t>
            </w:r>
          </w:p>
          <w:p>
            <w:pPr>
              <w:pStyle w:val="ListParagraph"/>
              <w:numPr>
                <w:ilvl w:val="0"/>
                <w:numId w:val="2"/>
              </w:numPr>
              <w:spacing w:before="20" w:after="20"/>
            </w:pPr>
            <w:r>
              <w:rPr>
                <w:rFonts w:ascii="Arial" w:cs="Arial" w:eastAsia="Arial" w:hAnsi="Arial"/>
                <w:color w:val="404040"/>
                <w:sz w:val="20"/>
                <w:szCs w:val="20"/>
              </w:rPr>
              <w:t xml:space="preserve">RECONSTRUCTION phase (Child's reconstruction):</w:t>
            </w:r>
          </w:p>
          <w:p>
            <w:pPr>
              <w:pStyle w:val="ListParagraph"/>
              <w:numPr>
                <w:ilvl w:val="0"/>
                <w:numId w:val="2"/>
              </w:numPr>
              <w:spacing w:before="20" w:after="20"/>
            </w:pPr>
            <w:r>
              <w:rPr>
                <w:rFonts w:ascii="Arial" w:cs="Arial" w:eastAsia="Arial" w:hAnsi="Arial"/>
                <w:color w:val="404040"/>
                <w:sz w:val="20"/>
                <w:szCs w:val="20"/>
              </w:rPr>
              <w:t xml:space="preserve">  9. Pancreaticojejunostomy (duct-to-mucosa): most critical anastomosis — highest leak risk</w:t>
            </w:r>
          </w:p>
          <w:p>
            <w:pPr>
              <w:pStyle w:val="ListParagraph"/>
              <w:numPr>
                <w:ilvl w:val="0"/>
                <w:numId w:val="2"/>
              </w:numPr>
              <w:spacing w:before="20" w:after="20"/>
            </w:pPr>
            <w:r>
              <w:rPr>
                <w:rFonts w:ascii="Arial" w:cs="Arial" w:eastAsia="Arial" w:hAnsi="Arial"/>
                <w:color w:val="404040"/>
                <w:sz w:val="20"/>
                <w:szCs w:val="20"/>
              </w:rPr>
              <w:t xml:space="preserve">  10. Hepaticojejunostomy: bile duct to Roux limb 10 cm distal to pancreaticojejunostomy</w:t>
            </w:r>
          </w:p>
          <w:p>
            <w:pPr>
              <w:pStyle w:val="ListParagraph"/>
              <w:numPr>
                <w:ilvl w:val="0"/>
                <w:numId w:val="2"/>
              </w:numPr>
              <w:spacing w:before="20" w:after="20"/>
            </w:pPr>
            <w:r>
              <w:rPr>
                <w:rFonts w:ascii="Arial" w:cs="Arial" w:eastAsia="Arial" w:hAnsi="Arial"/>
                <w:color w:val="404040"/>
                <w:sz w:val="20"/>
                <w:szCs w:val="20"/>
              </w:rPr>
              <w:t xml:space="preserve">  11. Gastrojejunostomy or duodenojejunostomy (PPPD): 50 cm distal to hepaticojejunostomy</w:t>
            </w:r>
          </w:p>
          <w:p>
            <w:pPr>
              <w:pStyle w:val="ListParagraph"/>
              <w:numPr>
                <w:ilvl w:val="0"/>
                <w:numId w:val="2"/>
              </w:numPr>
              <w:spacing w:before="20" w:after="20"/>
            </w:pPr>
            <w:r>
              <w:rPr>
                <w:rFonts w:ascii="Arial" w:cs="Arial" w:eastAsia="Arial" w:hAnsi="Arial"/>
                <w:color w:val="404040"/>
                <w:sz w:val="20"/>
                <w:szCs w:val="20"/>
              </w:rPr>
              <w:t xml:space="preserve">Drain placement: at least one drain near the pancreaticojejunostomy — drain amylase on POD 1 and POD 3 to detect fistula</w:t>
            </w:r>
          </w:p>
        </w:tc>
      </w:tr>
      <w:tr>
        <w:tc>
          <w:tcPr>
            <w:tcW w:type="dxa" w:w="600"/>
            <w:tcBorders>
              <w:top w:val="single" w:color="CCCCCC" w:sz="1"/>
              <w:left w:val="single" w:color="CCCCCC" w:sz="1"/>
              <w:bottom w:val="single" w:color="CCCCCC" w:sz="1"/>
              <w:right w:val="single" w:color="CCCCCC" w:sz="1"/>
            </w:tcBorders>
            <w:shd w:fill="FFF2CC" w:val="clear"/>
            <w:tcMar>
              <w:top w:type="dxa" w:w="60"/>
              <w:left w:type="dxa" w:w="80"/>
              <w:bottom w:type="dxa" w:w="60"/>
              <w:right w:type="dxa" w:w="80"/>
            </w:tcMar>
          </w:tcPr>
          <w:p>
            <w:pPr>
              <w:jc w:val="center"/>
            </w:pPr>
            <w:r>
              <w:rPr>
                <w:rFonts w:ascii="Arial" w:cs="Arial" w:eastAsia="Arial" w:hAnsi="Arial"/>
                <w:b/>
                <w:bCs/>
                <w:color w:val="7F6000"/>
                <w:sz w:val="18"/>
                <w:szCs w:val="18"/>
              </w:rPr>
              <w:t xml:space="preserve">!</w:t>
            </w:r>
          </w:p>
        </w:tc>
        <w:tc>
          <w:tcPr>
            <w:tcW w:type="dxa" w:w="876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r>
              <w:rPr>
                <w:rFonts w:ascii="Arial" w:cs="Arial" w:eastAsia="Arial" w:hAnsi="Arial"/>
                <w:b/>
                <w:bCs/>
                <w:color w:val="7F6000"/>
                <w:sz w:val="19"/>
                <w:szCs w:val="19"/>
              </w:rPr>
              <w:t xml:space="preserve">Examiner note: </w:t>
            </w:r>
            <w:r>
              <w:rPr>
                <w:rFonts w:ascii="Arial" w:cs="Arial" w:eastAsia="Arial" w:hAnsi="Arial"/>
                <w:i/>
                <w:iCs/>
                <w:color w:val="404040"/>
                <w:sz w:val="19"/>
                <w:szCs w:val="19"/>
              </w:rPr>
              <w:t xml:space="preserve">The three anastomoses in order (Child's sequence): pancreaticojejunostomy → hepaticojejunostomy → gastrojejunostomy. Sequence order matters.</w:t>
            </w:r>
          </w:p>
        </w:tc>
      </w:tr>
      <w:tr>
        <w:tc>
          <w:tcPr>
            <w:tcW w:type="dxa" w:w="6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pPr>
              <w:jc w:val="center"/>
            </w:pPr>
            <w:r>
              <w:rPr>
                <w:rFonts w:ascii="Arial" w:cs="Arial" w:eastAsia="Arial" w:hAnsi="Arial"/>
                <w:b/>
                <w:bCs/>
                <w:color w:val="FFFFFF"/>
                <w:sz w:val="20"/>
                <w:szCs w:val="20"/>
              </w:rPr>
              <w:t xml:space="preserve">Q5</w:t>
            </w:r>
          </w:p>
        </w:tc>
        <w:tc>
          <w:tcPr>
            <w:tcW w:type="dxa" w:w="8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21"/>
                <w:szCs w:val="21"/>
              </w:rPr>
              <w:t xml:space="preserve">What is the most feared post-operative complication and how do you manage it?</w:t>
            </w:r>
          </w:p>
        </w:tc>
      </w:tr>
      <w:tr>
        <w:tc>
          <w:tcPr>
            <w:tcW w:type="dxa" w:w="60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jc w:val="center"/>
            </w:pPr>
            <w:r>
              <w:rPr>
                <w:rFonts w:ascii="Arial" w:cs="Arial" w:eastAsia="Arial" w:hAnsi="Arial"/>
                <w:b/>
                <w:bCs/>
                <w:color w:val="375623"/>
                <w:sz w:val="18"/>
                <w:szCs w:val="18"/>
              </w:rPr>
              <w:t xml:space="preserve">►</w:t>
            </w:r>
          </w:p>
        </w:tc>
        <w:tc>
          <w:tcPr>
            <w:tcW w:type="dxa" w:w="8760"/>
            <w:tcBorders>
              <w:top w:val="single" w:color="CCCCCC" w:sz="1"/>
              <w:left w:val="single" w:color="CCCCCC" w:sz="1"/>
              <w:bottom w:val="single" w:color="CCCCCC" w:sz="1"/>
              <w:right w:val="single" w:color="CCCCCC" w:sz="1"/>
            </w:tcBorders>
            <w:shd w:fill="F9FDF5" w:val="clear"/>
            <w:tcMar>
              <w:top w:type="dxa" w:w="60"/>
              <w:left w:type="dxa" w:w="120"/>
              <w:bottom w:type="dxa" w:w="60"/>
              <w:right w:type="dxa" w:w="120"/>
            </w:tcMar>
          </w:tcPr>
          <w:p>
            <w:pPr>
              <w:pStyle w:val="ListParagraph"/>
              <w:numPr>
                <w:ilvl w:val="0"/>
                <w:numId w:val="2"/>
              </w:numPr>
              <w:spacing w:before="20" w:after="20"/>
            </w:pPr>
            <w:r>
              <w:rPr>
                <w:rFonts w:ascii="Arial" w:cs="Arial" w:eastAsia="Arial" w:hAnsi="Arial"/>
                <w:color w:val="404040"/>
                <w:sz w:val="20"/>
                <w:szCs w:val="20"/>
              </w:rPr>
              <w:t xml:space="preserve">Postoperative pancreatic fistula (POPF): most feared Whipple complication — 10–25% incidence</w:t>
            </w:r>
          </w:p>
          <w:p>
            <w:pPr>
              <w:pStyle w:val="ListParagraph"/>
              <w:numPr>
                <w:ilvl w:val="0"/>
                <w:numId w:val="2"/>
              </w:numPr>
              <w:spacing w:before="20" w:after="20"/>
            </w:pPr>
            <w:r>
              <w:rPr>
                <w:rFonts w:ascii="Arial" w:cs="Arial" w:eastAsia="Arial" w:hAnsi="Arial"/>
                <w:color w:val="404040"/>
                <w:sz w:val="20"/>
                <w:szCs w:val="20"/>
              </w:rPr>
              <w:t xml:space="preserve">ISGPF grading:</w:t>
            </w:r>
          </w:p>
          <w:p>
            <w:pPr>
              <w:pStyle w:val="ListParagraph"/>
              <w:numPr>
                <w:ilvl w:val="0"/>
                <w:numId w:val="2"/>
              </w:numPr>
              <w:spacing w:before="20" w:after="20"/>
            </w:pPr>
            <w:r>
              <w:rPr>
                <w:rFonts w:ascii="Arial" w:cs="Arial" w:eastAsia="Arial" w:hAnsi="Arial"/>
                <w:color w:val="404040"/>
                <w:sz w:val="20"/>
                <w:szCs w:val="20"/>
              </w:rPr>
              <w:t xml:space="preserve">  Grade A: biochemical leak (drain amylase &gt;3× upper limit of normal on POD 3) — no clinical impact, manage conservatively</w:t>
            </w:r>
          </w:p>
          <w:p>
            <w:pPr>
              <w:pStyle w:val="ListParagraph"/>
              <w:numPr>
                <w:ilvl w:val="0"/>
                <w:numId w:val="2"/>
              </w:numPr>
              <w:spacing w:before="20" w:after="20"/>
            </w:pPr>
            <w:r>
              <w:rPr>
                <w:rFonts w:ascii="Arial" w:cs="Arial" w:eastAsia="Arial" w:hAnsi="Arial"/>
                <w:color w:val="404040"/>
                <w:sz w:val="20"/>
                <w:szCs w:val="20"/>
              </w:rPr>
              <w:t xml:space="preserve">  Grade B: clinical impact — requires change in management (prolonged drainage, IR-guided drainage, antibiotics)</w:t>
            </w:r>
          </w:p>
          <w:p>
            <w:pPr>
              <w:pStyle w:val="ListParagraph"/>
              <w:numPr>
                <w:ilvl w:val="0"/>
                <w:numId w:val="2"/>
              </w:numPr>
              <w:spacing w:before="20" w:after="20"/>
            </w:pPr>
            <w:r>
              <w:rPr>
                <w:rFonts w:ascii="Arial" w:cs="Arial" w:eastAsia="Arial" w:hAnsi="Arial"/>
                <w:color w:val="404040"/>
                <w:sz w:val="20"/>
                <w:szCs w:val="20"/>
              </w:rPr>
              <w:t xml:space="preserve">  Grade C: life-threatening — requires re-operation for uncontrolled leak, bleeding, or sepsis</w:t>
            </w:r>
          </w:p>
          <w:p>
            <w:pPr>
              <w:pStyle w:val="ListParagraph"/>
              <w:numPr>
                <w:ilvl w:val="0"/>
                <w:numId w:val="2"/>
              </w:numPr>
              <w:spacing w:before="20" w:after="20"/>
            </w:pPr>
            <w:r>
              <w:rPr>
                <w:rFonts w:ascii="Arial" w:cs="Arial" w:eastAsia="Arial" w:hAnsi="Arial"/>
                <w:color w:val="404040"/>
                <w:sz w:val="20"/>
                <w:szCs w:val="20"/>
              </w:rPr>
              <w:t xml:space="preserve">Management of Grade B POPF:</w:t>
            </w:r>
          </w:p>
          <w:p>
            <w:pPr>
              <w:pStyle w:val="ListParagraph"/>
              <w:numPr>
                <w:ilvl w:val="0"/>
                <w:numId w:val="2"/>
              </w:numPr>
              <w:spacing w:before="20" w:after="20"/>
            </w:pPr>
            <w:r>
              <w:rPr>
                <w:rFonts w:ascii="Arial" w:cs="Arial" w:eastAsia="Arial" w:hAnsi="Arial"/>
                <w:color w:val="404040"/>
                <w:sz w:val="20"/>
                <w:szCs w:val="20"/>
              </w:rPr>
              <w:t xml:space="preserve">  Keep drains in place — do NOT remove prematurely (drain amylase POD 3 guides this decision)</w:t>
            </w:r>
          </w:p>
          <w:p>
            <w:pPr>
              <w:pStyle w:val="ListParagraph"/>
              <w:numPr>
                <w:ilvl w:val="0"/>
                <w:numId w:val="2"/>
              </w:numPr>
              <w:spacing w:before="20" w:after="20"/>
            </w:pPr>
            <w:r>
              <w:rPr>
                <w:rFonts w:ascii="Arial" w:cs="Arial" w:eastAsia="Arial" w:hAnsi="Arial"/>
                <w:color w:val="404040"/>
                <w:sz w:val="20"/>
                <w:szCs w:val="20"/>
              </w:rPr>
              <w:t xml:space="preserve">  NPO or clear liquids, TPN or jejunal feeds</w:t>
            </w:r>
          </w:p>
          <w:p>
            <w:pPr>
              <w:pStyle w:val="ListParagraph"/>
              <w:numPr>
                <w:ilvl w:val="0"/>
                <w:numId w:val="2"/>
              </w:numPr>
              <w:spacing w:before="20" w:after="20"/>
            </w:pPr>
            <w:r>
              <w:rPr>
                <w:rFonts w:ascii="Arial" w:cs="Arial" w:eastAsia="Arial" w:hAnsi="Arial"/>
                <w:color w:val="404040"/>
                <w:sz w:val="20"/>
                <w:szCs w:val="20"/>
              </w:rPr>
              <w:t xml:space="preserve">  Octreotide: controversial benefit — reduces output but not clinical POPF rate</w:t>
            </w:r>
          </w:p>
          <w:p>
            <w:pPr>
              <w:pStyle w:val="ListParagraph"/>
              <w:numPr>
                <w:ilvl w:val="0"/>
                <w:numId w:val="2"/>
              </w:numPr>
              <w:spacing w:before="20" w:after="20"/>
            </w:pPr>
            <w:r>
              <w:rPr>
                <w:rFonts w:ascii="Arial" w:cs="Arial" w:eastAsia="Arial" w:hAnsi="Arial"/>
                <w:color w:val="404040"/>
                <w:sz w:val="20"/>
                <w:szCs w:val="20"/>
              </w:rPr>
              <w:t xml:space="preserve">  CT-guided drainage if organized fluid collection forms</w:t>
            </w:r>
          </w:p>
          <w:p>
            <w:pPr>
              <w:pStyle w:val="ListParagraph"/>
              <w:numPr>
                <w:ilvl w:val="0"/>
                <w:numId w:val="2"/>
              </w:numPr>
              <w:spacing w:before="20" w:after="20"/>
            </w:pPr>
            <w:r>
              <w:rPr>
                <w:rFonts w:ascii="Arial" w:cs="Arial" w:eastAsia="Arial" w:hAnsi="Arial"/>
                <w:color w:val="404040"/>
                <w:sz w:val="20"/>
                <w:szCs w:val="20"/>
              </w:rPr>
              <w:t xml:space="preserve">  Angioembolization if pseudoaneurysm develops (sentinel bleed)</w:t>
            </w:r>
          </w:p>
          <w:p>
            <w:pPr>
              <w:pStyle w:val="ListParagraph"/>
              <w:numPr>
                <w:ilvl w:val="0"/>
                <w:numId w:val="2"/>
              </w:numPr>
              <w:spacing w:before="20" w:after="20"/>
            </w:pPr>
            <w:r>
              <w:rPr>
                <w:rFonts w:ascii="Arial" w:cs="Arial" w:eastAsia="Arial" w:hAnsi="Arial"/>
                <w:color w:val="404040"/>
                <w:sz w:val="20"/>
                <w:szCs w:val="20"/>
              </w:rPr>
              <w:t xml:space="preserve">Delayed gastric emptying (DGE): second most common complication — NGT decompression, prokinetics (metoclopramide, erythromycin), TPN until motility returns</w:t>
            </w:r>
          </w:p>
        </w:tc>
      </w:tr>
    </w:tbl>
    <w:p>
      <w:pPr>
        <w:spacing w:before="0"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60"/>
              <w:left w:type="dxa" w:w="120"/>
              <w:bottom w:type="dxa" w:w="60"/>
              <w:right w:type="dxa" w:w="120"/>
            </w:tcMar>
          </w:tcPr>
          <w:p>
            <w:r>
              <w:rPr>
                <w:rFonts w:ascii="Arial" w:cs="Arial" w:eastAsia="Arial" w:hAnsi="Arial"/>
                <w:b/>
                <w:bCs/>
                <w:color w:val="FFFFFF"/>
                <w:sz w:val="20"/>
                <w:szCs w:val="20"/>
              </w:rPr>
              <w:t xml:space="preserve">EVOLUTIONS — Examiner-directed scenario pivots</w:t>
            </w:r>
          </w:p>
        </w:tc>
      </w:tr>
    </w:tbl>
    <w:p>
      <w:pPr>
        <w:spacing w:before="0"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9360"/>
            <w:gridSpan w:val="2"/>
            <w:tcBorders>
              <w:top w:val="single" w:color="C55A11" w:sz="1"/>
              <w:left w:val="single" w:color="C55A11" w:sz="16"/>
              <w:bottom w:val="single" w:color="C55A11" w:sz="1"/>
              <w:right w:val="single" w:color="CCCCCC" w:sz="1"/>
            </w:tcBorders>
            <w:shd w:fill="FCE4D6" w:val="clear"/>
            <w:tcMar>
              <w:top w:type="dxa" w:w="80"/>
              <w:left w:type="dxa" w:w="120"/>
              <w:bottom w:type="dxa" w:w="80"/>
              <w:right w:type="dxa" w:w="120"/>
            </w:tcMar>
          </w:tcPr>
          <w:p>
            <w:r>
              <w:rPr>
                <w:rFonts w:ascii="Arial" w:cs="Arial" w:eastAsia="Arial" w:hAnsi="Arial"/>
                <w:b/>
                <w:bCs/>
                <w:color w:val="C55A11"/>
                <w:sz w:val="20"/>
                <w:szCs w:val="20"/>
              </w:rPr>
              <w:t xml:space="preserve">EVOLUTION 1  </w:t>
            </w:r>
            <w:r>
              <w:rPr>
                <w:rFonts w:ascii="Arial" w:cs="Arial" w:eastAsia="Arial" w:hAnsi="Arial"/>
                <w:b/>
                <w:bCs/>
                <w:color w:val="404040"/>
                <w:sz w:val="20"/>
                <w:szCs w:val="20"/>
              </w:rPr>
              <w:t xml:space="preserve">Adjuvant chemotherapy</w:t>
            </w:r>
          </w:p>
          <w:p>
            <w:pPr>
              <w:spacing w:before="40"/>
            </w:pPr>
            <w:r>
              <w:rPr>
                <w:rFonts w:ascii="Arial" w:cs="Arial" w:eastAsia="Arial" w:hAnsi="Arial"/>
                <w:i/>
                <w:iCs/>
                <w:color w:val="404040"/>
                <w:sz w:val="20"/>
                <w:szCs w:val="20"/>
              </w:rPr>
              <w:t xml:space="preserve">Patient recovers well from Whipple. Final pathology: 3 cm moderately differentiated PDAC, margins negative (R0), 2 of 15 lymph nodes positive, no distant metastases. Stage IIB. What adjuvant therapy do you recommend?</w:t>
            </w:r>
          </w:p>
        </w:tc>
      </w:tr>
      <w:tr>
        <w:tc>
          <w:tcPr>
            <w:tcW w:type="dxa" w:w="600"/>
            <w:tcBorders>
              <w:top w:val="single" w:color="CCCCCC" w:sz="1"/>
              <w:left w:val="single" w:color="CCCCCC" w:sz="1"/>
              <w:bottom w:val="single" w:color="CCCCCC" w:sz="1"/>
              <w:right w:val="single" w:color="CCCCCC" w:sz="1"/>
            </w:tcBorders>
            <w:shd w:fill="FCE4D6" w:val="clear"/>
            <w:tcMar>
              <w:top w:type="dxa" w:w="60"/>
              <w:left w:type="dxa" w:w="80"/>
              <w:bottom w:type="dxa" w:w="60"/>
              <w:right w:type="dxa" w:w="80"/>
            </w:tcMar>
          </w:tcPr>
          <w:p>
            <w:pPr>
              <w:jc w:val="center"/>
            </w:pPr>
            <w:r>
              <w:rPr>
                <w:rFonts w:ascii="Arial" w:cs="Arial" w:eastAsia="Arial" w:hAnsi="Arial"/>
                <w:b/>
                <w:bCs/>
                <w:color w:val="C55A11"/>
                <w:sz w:val="18"/>
                <w:szCs w:val="18"/>
              </w:rPr>
              <w:t xml:space="preserve">►</w:t>
            </w:r>
          </w:p>
        </w:tc>
        <w:tc>
          <w:tcPr>
            <w:tcW w:type="dxa" w:w="8760"/>
            <w:tcBorders>
              <w:top w:val="single" w:color="CCCCCC" w:sz="1"/>
              <w:left w:val="single" w:color="CCCCCC" w:sz="1"/>
              <w:bottom w:val="single" w:color="CCCCCC" w:sz="1"/>
              <w:right w:val="single" w:color="CCCCCC" w:sz="1"/>
            </w:tcBorders>
            <w:shd w:fill="FFFAF5" w:val="clear"/>
            <w:tcMar>
              <w:top w:type="dxa" w:w="60"/>
              <w:left w:type="dxa" w:w="120"/>
              <w:bottom w:type="dxa" w:w="60"/>
              <w:right w:type="dxa" w:w="120"/>
            </w:tcMar>
          </w:tcPr>
          <w:p>
            <w:pPr>
              <w:pStyle w:val="ListParagraph"/>
              <w:numPr>
                <w:ilvl w:val="0"/>
                <w:numId w:val="2"/>
              </w:numPr>
              <w:spacing w:before="20" w:after="20"/>
            </w:pPr>
            <w:r>
              <w:rPr>
                <w:rFonts w:ascii="Arial" w:cs="Arial" w:eastAsia="Arial" w:hAnsi="Arial"/>
                <w:color w:val="404040"/>
                <w:sz w:val="20"/>
                <w:szCs w:val="20"/>
              </w:rPr>
              <w:t xml:space="preserve">Adjuvant chemotherapy: strongly recommended for all resected pancreatic adenocarcinoma</w:t>
            </w:r>
          </w:p>
          <w:p>
            <w:pPr>
              <w:pStyle w:val="ListParagraph"/>
              <w:numPr>
                <w:ilvl w:val="0"/>
                <w:numId w:val="2"/>
              </w:numPr>
              <w:spacing w:before="20" w:after="20"/>
            </w:pPr>
            <w:r>
              <w:rPr>
                <w:rFonts w:ascii="Arial" w:cs="Arial" w:eastAsia="Arial" w:hAnsi="Arial"/>
                <w:color w:val="404040"/>
                <w:sz w:val="20"/>
                <w:szCs w:val="20"/>
              </w:rPr>
              <w:t xml:space="preserve">Modified FOLFIRINOX (mFOLFIRINOX): preferred for patients with good performance status (ECOG 0–1)</w:t>
            </w:r>
          </w:p>
          <w:p>
            <w:pPr>
              <w:pStyle w:val="ListParagraph"/>
              <w:numPr>
                <w:ilvl w:val="0"/>
                <w:numId w:val="2"/>
              </w:numPr>
              <w:spacing w:before="20" w:after="20"/>
            </w:pPr>
            <w:r>
              <w:rPr>
                <w:rFonts w:ascii="Arial" w:cs="Arial" w:eastAsia="Arial" w:hAnsi="Arial"/>
                <w:color w:val="404040"/>
                <w:sz w:val="20"/>
                <w:szCs w:val="20"/>
              </w:rPr>
              <w:t xml:space="preserve">  PRODIGE 24 trial: mFOLFIRINOX vs gemcitabine — median OS 54 vs 35 months (significant improvement)</w:t>
            </w:r>
          </w:p>
          <w:p>
            <w:pPr>
              <w:pStyle w:val="ListParagraph"/>
              <w:numPr>
                <w:ilvl w:val="0"/>
                <w:numId w:val="2"/>
              </w:numPr>
              <w:spacing w:before="20" w:after="20"/>
            </w:pPr>
            <w:r>
              <w:rPr>
                <w:rFonts w:ascii="Arial" w:cs="Arial" w:eastAsia="Arial" w:hAnsi="Arial"/>
                <w:color w:val="404040"/>
                <w:sz w:val="20"/>
                <w:szCs w:val="20"/>
              </w:rPr>
              <w:t xml:space="preserve">Gemcitabine + capecitabine (GemCap): acceptable alternative for patients who cannot tolerate FOLFIRINOX</w:t>
            </w:r>
          </w:p>
          <w:p>
            <w:pPr>
              <w:pStyle w:val="ListParagraph"/>
              <w:numPr>
                <w:ilvl w:val="0"/>
                <w:numId w:val="2"/>
              </w:numPr>
              <w:spacing w:before="20" w:after="20"/>
            </w:pPr>
            <w:r>
              <w:rPr>
                <w:rFonts w:ascii="Arial" w:cs="Arial" w:eastAsia="Arial" w:hAnsi="Arial"/>
                <w:color w:val="404040"/>
                <w:sz w:val="20"/>
                <w:szCs w:val="20"/>
              </w:rPr>
              <w:t xml:space="preserve">  ESPAC-4 trial: GemCap superior to gemcitabine alone</w:t>
            </w:r>
          </w:p>
          <w:p>
            <w:pPr>
              <w:pStyle w:val="ListParagraph"/>
              <w:numPr>
                <w:ilvl w:val="0"/>
                <w:numId w:val="2"/>
              </w:numPr>
              <w:spacing w:before="20" w:after="20"/>
            </w:pPr>
            <w:r>
              <w:rPr>
                <w:rFonts w:ascii="Arial" w:cs="Arial" w:eastAsia="Arial" w:hAnsi="Arial"/>
                <w:color w:val="404040"/>
                <w:sz w:val="20"/>
                <w:szCs w:val="20"/>
              </w:rPr>
              <w:t xml:space="preserve">Gemcitabine alone: still acceptable if GemCap or FOLFIRINOX not tolerated</w:t>
            </w:r>
          </w:p>
          <w:p>
            <w:pPr>
              <w:pStyle w:val="ListParagraph"/>
              <w:numPr>
                <w:ilvl w:val="0"/>
                <w:numId w:val="2"/>
              </w:numPr>
              <w:spacing w:before="20" w:after="20"/>
            </w:pPr>
            <w:r>
              <w:rPr>
                <w:rFonts w:ascii="Arial" w:cs="Arial" w:eastAsia="Arial" w:hAnsi="Arial"/>
                <w:color w:val="404040"/>
                <w:sz w:val="20"/>
                <w:szCs w:val="20"/>
              </w:rPr>
              <w:t xml:space="preserve">Duration: 6 months of adjuvant chemotherapy</w:t>
            </w:r>
          </w:p>
          <w:p>
            <w:pPr>
              <w:pStyle w:val="ListParagraph"/>
              <w:numPr>
                <w:ilvl w:val="0"/>
                <w:numId w:val="2"/>
              </w:numPr>
              <w:spacing w:before="20" w:after="20"/>
            </w:pPr>
            <w:r>
              <w:rPr>
                <w:rFonts w:ascii="Arial" w:cs="Arial" w:eastAsia="Arial" w:hAnsi="Arial"/>
                <w:color w:val="404040"/>
                <w:sz w:val="20"/>
                <w:szCs w:val="20"/>
              </w:rPr>
              <w:t xml:space="preserve">Radiation: adjuvant chemoradiation — controversial; not standard of care in US</w:t>
            </w:r>
          </w:p>
          <w:p>
            <w:pPr>
              <w:pStyle w:val="ListParagraph"/>
              <w:numPr>
                <w:ilvl w:val="0"/>
                <w:numId w:val="2"/>
              </w:numPr>
              <w:spacing w:before="20" w:after="20"/>
            </w:pPr>
            <w:r>
              <w:rPr>
                <w:rFonts w:ascii="Arial" w:cs="Arial" w:eastAsia="Arial" w:hAnsi="Arial"/>
                <w:color w:val="404040"/>
                <w:sz w:val="20"/>
                <w:szCs w:val="20"/>
              </w:rPr>
              <w:t xml:space="preserve">Refer to medical oncology within 4–6 weeks after surgery — minimize time to starting adjuvant therapy</w:t>
            </w:r>
          </w:p>
        </w:tc>
      </w:tr>
      <w:tr>
        <w:tc>
          <w:tcPr>
            <w:tcW w:type="dxa" w:w="9360"/>
            <w:gridSpan w:val="2"/>
            <w:tcBorders>
              <w:top w:val="single" w:color="C55A11" w:sz="1"/>
              <w:left w:val="single" w:color="C55A11" w:sz="16"/>
              <w:bottom w:val="single" w:color="C55A11" w:sz="1"/>
              <w:right w:val="single" w:color="CCCCCC" w:sz="1"/>
            </w:tcBorders>
            <w:shd w:fill="FCE4D6" w:val="clear"/>
            <w:tcMar>
              <w:top w:type="dxa" w:w="80"/>
              <w:left w:type="dxa" w:w="120"/>
              <w:bottom w:type="dxa" w:w="80"/>
              <w:right w:type="dxa" w:w="120"/>
            </w:tcMar>
          </w:tcPr>
          <w:p>
            <w:r>
              <w:rPr>
                <w:rFonts w:ascii="Arial" w:cs="Arial" w:eastAsia="Arial" w:hAnsi="Arial"/>
                <w:b/>
                <w:bCs/>
                <w:color w:val="C55A11"/>
                <w:sz w:val="20"/>
                <w:szCs w:val="20"/>
              </w:rPr>
              <w:t xml:space="preserve">EVOLUTION 2  </w:t>
            </w:r>
            <w:r>
              <w:rPr>
                <w:rFonts w:ascii="Arial" w:cs="Arial" w:eastAsia="Arial" w:hAnsi="Arial"/>
                <w:b/>
                <w:bCs/>
                <w:color w:val="404040"/>
                <w:sz w:val="20"/>
                <w:szCs w:val="20"/>
              </w:rPr>
              <w:t xml:space="preserve">Borderline resectable — neoadjuvant</w:t>
            </w:r>
          </w:p>
          <w:p>
            <w:pPr>
              <w:spacing w:before="40"/>
            </w:pPr>
            <w:r>
              <w:rPr>
                <w:rFonts w:ascii="Arial" w:cs="Arial" w:eastAsia="Arial" w:hAnsi="Arial"/>
                <w:i/>
                <w:iCs/>
                <w:color w:val="404040"/>
                <w:sz w:val="20"/>
                <w:szCs w:val="20"/>
              </w:rPr>
              <w:t xml:space="preserve">Different patient: same presentation but CT shows SMV abutment ≤180° with mild deformity. How does this change management?</w:t>
            </w:r>
          </w:p>
        </w:tc>
      </w:tr>
      <w:tr>
        <w:tc>
          <w:tcPr>
            <w:tcW w:type="dxa" w:w="600"/>
            <w:tcBorders>
              <w:top w:val="single" w:color="CCCCCC" w:sz="1"/>
              <w:left w:val="single" w:color="CCCCCC" w:sz="1"/>
              <w:bottom w:val="single" w:color="CCCCCC" w:sz="1"/>
              <w:right w:val="single" w:color="CCCCCC" w:sz="1"/>
            </w:tcBorders>
            <w:shd w:fill="FCE4D6" w:val="clear"/>
            <w:tcMar>
              <w:top w:type="dxa" w:w="60"/>
              <w:left w:type="dxa" w:w="80"/>
              <w:bottom w:type="dxa" w:w="60"/>
              <w:right w:type="dxa" w:w="80"/>
            </w:tcMar>
          </w:tcPr>
          <w:p>
            <w:pPr>
              <w:jc w:val="center"/>
            </w:pPr>
            <w:r>
              <w:rPr>
                <w:rFonts w:ascii="Arial" w:cs="Arial" w:eastAsia="Arial" w:hAnsi="Arial"/>
                <w:b/>
                <w:bCs/>
                <w:color w:val="C55A11"/>
                <w:sz w:val="18"/>
                <w:szCs w:val="18"/>
              </w:rPr>
              <w:t xml:space="preserve">►</w:t>
            </w:r>
          </w:p>
        </w:tc>
        <w:tc>
          <w:tcPr>
            <w:tcW w:type="dxa" w:w="8760"/>
            <w:tcBorders>
              <w:top w:val="single" w:color="CCCCCC" w:sz="1"/>
              <w:left w:val="single" w:color="CCCCCC" w:sz="1"/>
              <w:bottom w:val="single" w:color="CCCCCC" w:sz="1"/>
              <w:right w:val="single" w:color="CCCCCC" w:sz="1"/>
            </w:tcBorders>
            <w:shd w:fill="FFFAF5" w:val="clear"/>
            <w:tcMar>
              <w:top w:type="dxa" w:w="60"/>
              <w:left w:type="dxa" w:w="120"/>
              <w:bottom w:type="dxa" w:w="60"/>
              <w:right w:type="dxa" w:w="120"/>
            </w:tcMar>
          </w:tcPr>
          <w:p>
            <w:pPr>
              <w:pStyle w:val="ListParagraph"/>
              <w:numPr>
                <w:ilvl w:val="0"/>
                <w:numId w:val="2"/>
              </w:numPr>
              <w:spacing w:before="20" w:after="20"/>
            </w:pPr>
            <w:r>
              <w:rPr>
                <w:rFonts w:ascii="Arial" w:cs="Arial" w:eastAsia="Arial" w:hAnsi="Arial"/>
                <w:color w:val="404040"/>
                <w:sz w:val="20"/>
                <w:szCs w:val="20"/>
              </w:rPr>
              <w:t xml:space="preserve">Borderline resectable: neoadjuvant systemic therapy is preferred before surgery</w:t>
            </w:r>
          </w:p>
          <w:p>
            <w:pPr>
              <w:pStyle w:val="ListParagraph"/>
              <w:numPr>
                <w:ilvl w:val="0"/>
                <w:numId w:val="2"/>
              </w:numPr>
              <w:spacing w:before="20" w:after="20"/>
            </w:pPr>
            <w:r>
              <w:rPr>
                <w:rFonts w:ascii="Arial" w:cs="Arial" w:eastAsia="Arial" w:hAnsi="Arial"/>
                <w:color w:val="404040"/>
                <w:sz w:val="20"/>
                <w:szCs w:val="20"/>
              </w:rPr>
              <w:t xml:space="preserve">Rationale: downstage vascular involvement, select patients with favorable biology (those who progress on chemo have biologically aggressive disease not helped by surgery)</w:t>
            </w:r>
          </w:p>
          <w:p>
            <w:pPr>
              <w:pStyle w:val="ListParagraph"/>
              <w:numPr>
                <w:ilvl w:val="0"/>
                <w:numId w:val="2"/>
              </w:numPr>
              <w:spacing w:before="20" w:after="20"/>
            </w:pPr>
            <w:r>
              <w:rPr>
                <w:rFonts w:ascii="Arial" w:cs="Arial" w:eastAsia="Arial" w:hAnsi="Arial"/>
                <w:color w:val="404040"/>
                <w:sz w:val="20"/>
                <w:szCs w:val="20"/>
              </w:rPr>
              <w:t xml:space="preserve">Regimen: FOLFIRINOX (4 cycles) or gemcitabine/nab-paclitaxel</w:t>
            </w:r>
          </w:p>
          <w:p>
            <w:pPr>
              <w:pStyle w:val="ListParagraph"/>
              <w:numPr>
                <w:ilvl w:val="0"/>
                <w:numId w:val="2"/>
              </w:numPr>
              <w:spacing w:before="20" w:after="20"/>
            </w:pPr>
            <w:r>
              <w:rPr>
                <w:rFonts w:ascii="Arial" w:cs="Arial" w:eastAsia="Arial" w:hAnsi="Arial"/>
                <w:color w:val="404040"/>
                <w:sz w:val="20"/>
                <w:szCs w:val="20"/>
              </w:rPr>
              <w:t xml:space="preserve">Preoperative biliary drainage: required if starting neoadjuvant therapy — chemotherapy requires adequate biliary drainage</w:t>
            </w:r>
          </w:p>
          <w:p>
            <w:pPr>
              <w:pStyle w:val="ListParagraph"/>
              <w:numPr>
                <w:ilvl w:val="0"/>
                <w:numId w:val="2"/>
              </w:numPr>
              <w:spacing w:before="20" w:after="20"/>
            </w:pPr>
            <w:r>
              <w:rPr>
                <w:rFonts w:ascii="Arial" w:cs="Arial" w:eastAsia="Arial" w:hAnsi="Arial"/>
                <w:color w:val="404040"/>
                <w:sz w:val="20"/>
                <w:szCs w:val="20"/>
              </w:rPr>
              <w:t xml:space="preserve">Restage with CT after neoadjuvant: assess response and resectability</w:t>
            </w:r>
          </w:p>
          <w:p>
            <w:pPr>
              <w:pStyle w:val="ListParagraph"/>
              <w:numPr>
                <w:ilvl w:val="0"/>
                <w:numId w:val="2"/>
              </w:numPr>
              <w:spacing w:before="20" w:after="20"/>
            </w:pPr>
            <w:r>
              <w:rPr>
                <w:rFonts w:ascii="Arial" w:cs="Arial" w:eastAsia="Arial" w:hAnsi="Arial"/>
                <w:color w:val="404040"/>
                <w:sz w:val="20"/>
                <w:szCs w:val="20"/>
              </w:rPr>
              <w:t xml:space="preserve">If still borderline or resectable: proceed to Whipple with planned vascular resection (SMV/PV segmental resection with primary or graft reconstruction) if needed</w:t>
            </w:r>
          </w:p>
          <w:p>
            <w:pPr>
              <w:pStyle w:val="ListParagraph"/>
              <w:numPr>
                <w:ilvl w:val="0"/>
                <w:numId w:val="2"/>
              </w:numPr>
              <w:spacing w:before="20" w:after="20"/>
            </w:pPr>
            <w:r>
              <w:rPr>
                <w:rFonts w:ascii="Arial" w:cs="Arial" w:eastAsia="Arial" w:hAnsi="Arial"/>
                <w:color w:val="404040"/>
                <w:sz w:val="20"/>
                <w:szCs w:val="20"/>
              </w:rPr>
              <w:t xml:space="preserve">If progression on neoadjuvant: disease has adverse biology — re-evaluate goals of care</w:t>
            </w:r>
          </w:p>
        </w:tc>
      </w:tr>
    </w:tbl>
    <w:p>
      <w:pPr>
        <w:spacing w:before="0"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6"/>
              <w:bottom w:val="single" w:color="C00000" w:sz="1"/>
              <w:right w:val="single" w:color="CCCCCC" w:sz="1"/>
            </w:tcBorders>
            <w:shd w:fill="FDECEA" w:val="clear"/>
            <w:tcMar>
              <w:top w:type="dxa" w:w="80"/>
              <w:left w:type="dxa" w:w="120"/>
              <w:bottom w:type="dxa" w:w="80"/>
              <w:right w:type="dxa" w:w="120"/>
            </w:tcMar>
          </w:tcPr>
          <w:p>
            <w:r>
              <w:rPr>
                <w:rFonts w:ascii="Arial" w:cs="Arial" w:eastAsia="Arial" w:hAnsi="Arial"/>
                <w:b/>
                <w:bCs/>
                <w:color w:val="C00000"/>
                <w:sz w:val="20"/>
                <w:szCs w:val="20"/>
              </w:rPr>
              <w:t xml:space="preserve">CRITICAL ERRORS — Automatic Fail if any committed</w:t>
            </w:r>
          </w:p>
          <w:p>
            <w:pPr>
              <w:spacing w:before="40"/>
            </w:pPr>
            <w:r>
              <w:rPr>
                <w:rFonts w:ascii="Arial" w:cs="Arial" w:eastAsia="Arial" w:hAnsi="Arial"/>
                <w:color w:val="C00000"/>
                <w:sz w:val="20"/>
                <w:szCs w:val="20"/>
              </w:rPr>
              <w:t xml:space="preserve">☐  Routinely draining the bile duct before Whipple without indication — increases infectious complications</w:t>
            </w:r>
          </w:p>
          <w:p>
            <w:pPr>
              <w:spacing w:before="40"/>
            </w:pPr>
            <w:r>
              <w:rPr>
                <w:rFonts w:ascii="Arial" w:cs="Arial" w:eastAsia="Arial" w:hAnsi="Arial"/>
                <w:color w:val="C00000"/>
                <w:sz w:val="20"/>
                <w:szCs w:val="20"/>
              </w:rPr>
              <w:t xml:space="preserve">☐  Not performing intraoperative frozen section of the pancreatic neck margin — positive margin should prompt further excision</w:t>
            </w:r>
          </w:p>
          <w:p>
            <w:pPr>
              <w:spacing w:before="40"/>
            </w:pPr>
            <w:r>
              <w:rPr>
                <w:rFonts w:ascii="Arial" w:cs="Arial" w:eastAsia="Arial" w:hAnsi="Arial"/>
                <w:color w:val="C00000"/>
                <w:sz w:val="20"/>
                <w:szCs w:val="20"/>
              </w:rPr>
              <w:t xml:space="preserve">☐  Not checking the SMV/PV tunnel (assessing posterior resectability) before starting resection — finding non-resectable disease after beginning dissection</w:t>
            </w:r>
          </w:p>
          <w:p>
            <w:pPr>
              <w:spacing w:before="40"/>
            </w:pPr>
            <w:r>
              <w:rPr>
                <w:rFonts w:ascii="Arial" w:cs="Arial" w:eastAsia="Arial" w:hAnsi="Arial"/>
                <w:color w:val="C00000"/>
                <w:sz w:val="20"/>
                <w:szCs w:val="20"/>
              </w:rPr>
              <w:t xml:space="preserve">☐  Placing the pancreaticojejunostomy distal to the hepaticojejunostomy — reversal of Child's reconstruction sequence leads to bile contamination of the pancreatic anastomosis</w:t>
            </w:r>
          </w:p>
          <w:p>
            <w:pPr>
              <w:spacing w:before="40"/>
            </w:pPr>
            <w:r>
              <w:rPr>
                <w:rFonts w:ascii="Arial" w:cs="Arial" w:eastAsia="Arial" w:hAnsi="Arial"/>
                <w:color w:val="C00000"/>
                <w:sz w:val="20"/>
                <w:szCs w:val="20"/>
              </w:rPr>
              <w:t xml:space="preserve">☐  Removing surgical drains prematurely without checking drain amylase — early drain removal in the setting of POPF leads to uncontrolled leak</w:t>
            </w:r>
          </w:p>
        </w:tc>
      </w:tr>
    </w:tbl>
    <w:p>
      <w:pPr>
        <w:spacing w:before="0"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1"/>
              <w:left w:val="single" w:color="375623" w:sz="16"/>
              <w:bottom w:val="single" w:color="375623"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KEY TEACHING POINTS</w:t>
            </w:r>
          </w:p>
          <w:p>
            <w:pPr>
              <w:spacing w:before="40"/>
            </w:pPr>
            <w:r>
              <w:rPr>
                <w:rFonts w:ascii="Arial" w:cs="Arial" w:eastAsia="Arial" w:hAnsi="Arial"/>
                <w:color w:val="404040"/>
                <w:sz w:val="20"/>
                <w:szCs w:val="20"/>
              </w:rPr>
              <w:t xml:space="preserve">•  Double duct sign on CT = pancreatic head mass until proven otherwise</w:t>
            </w:r>
          </w:p>
          <w:p>
            <w:pPr>
              <w:spacing w:before="40"/>
            </w:pPr>
            <w:r>
              <w:rPr>
                <w:rFonts w:ascii="Arial" w:cs="Arial" w:eastAsia="Arial" w:hAnsi="Arial"/>
                <w:color w:val="404040"/>
                <w:sz w:val="20"/>
                <w:szCs w:val="20"/>
              </w:rPr>
              <w:t xml:space="preserve">•  Resectability: no arterial involvement, SMV/PV &lt;180° contact. Borderline = neoadjuvant first.</w:t>
            </w:r>
          </w:p>
          <w:p>
            <w:pPr>
              <w:spacing w:before="40"/>
            </w:pPr>
            <w:r>
              <w:rPr>
                <w:rFonts w:ascii="Arial" w:cs="Arial" w:eastAsia="Arial" w:hAnsi="Arial"/>
                <w:color w:val="404040"/>
                <w:sz w:val="20"/>
                <w:szCs w:val="20"/>
              </w:rPr>
              <w:t xml:space="preserve">•  Preoperative biliary drainage: NOT routine. Indications: cholangitis, very high bilirubin, neoadjuvant planned.</w:t>
            </w:r>
          </w:p>
          <w:p>
            <w:pPr>
              <w:spacing w:before="40"/>
            </w:pPr>
            <w:r>
              <w:rPr>
                <w:rFonts w:ascii="Arial" w:cs="Arial" w:eastAsia="Arial" w:hAnsi="Arial"/>
                <w:color w:val="404040"/>
                <w:sz w:val="20"/>
                <w:szCs w:val="20"/>
              </w:rPr>
              <w:t xml:space="preserve">•  Whipple reconstruction: Child's sequence — pancreaticojejunostomy FIRST, then hepaticojejunostomy, then gastrojejunostomy</w:t>
            </w:r>
          </w:p>
          <w:p>
            <w:pPr>
              <w:spacing w:before="40"/>
            </w:pPr>
            <w:r>
              <w:rPr>
                <w:rFonts w:ascii="Arial" w:cs="Arial" w:eastAsia="Arial" w:hAnsi="Arial"/>
                <w:color w:val="404040"/>
                <w:sz w:val="20"/>
                <w:szCs w:val="20"/>
              </w:rPr>
              <w:t xml:space="preserve">•  Adjuvant chemo: mFOLFIRINOX preferred (PRODIGE 24 — median OS 54 months vs 35 with gemcitabine)</w:t>
            </w:r>
          </w:p>
        </w:tc>
      </w:tr>
    </w:tbl>
    <w:p>
      <w:pPr>
        <w:spacing w:before="0"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595959"/>
                <w:sz w:val="19"/>
                <w:szCs w:val="19"/>
              </w:rPr>
              <w:t xml:space="preserve">EVIDENCE BASE &amp; REFERENCES</w:t>
            </w:r>
          </w:p>
          <w:p>
            <w:pPr>
              <w:spacing w:before="30"/>
            </w:pPr>
            <w:r>
              <w:rPr>
                <w:rFonts w:ascii="Arial" w:cs="Arial" w:eastAsia="Arial" w:hAnsi="Arial"/>
                <w:i/>
                <w:iCs/>
                <w:color w:val="595959"/>
                <w:sz w:val="18"/>
                <w:szCs w:val="18"/>
              </w:rPr>
              <w:t xml:space="preserve">Tempero MA et al. NCCN Pancreatic Adenocarcinoma Guidelines v2023</w:t>
            </w:r>
          </w:p>
          <w:p>
            <w:pPr>
              <w:spacing w:before="30"/>
            </w:pPr>
            <w:r>
              <w:rPr>
                <w:rFonts w:ascii="Arial" w:cs="Arial" w:eastAsia="Arial" w:hAnsi="Arial"/>
                <w:i/>
                <w:iCs/>
                <w:color w:val="595959"/>
                <w:sz w:val="18"/>
                <w:szCs w:val="18"/>
              </w:rPr>
              <w:t xml:space="preserve">Conroy T et al. FOLFIRINOX vs gemcitabine as adjuvant therapy (PRODIGE 24). NEJM 2018</w:t>
            </w:r>
          </w:p>
          <w:p>
            <w:pPr>
              <w:spacing w:before="30"/>
            </w:pPr>
            <w:r>
              <w:rPr>
                <w:rFonts w:ascii="Arial" w:cs="Arial" w:eastAsia="Arial" w:hAnsi="Arial"/>
                <w:i/>
                <w:iCs/>
                <w:color w:val="595959"/>
                <w:sz w:val="18"/>
                <w:szCs w:val="18"/>
              </w:rPr>
              <w:t xml:space="preserve">van der Gaag NA et al. Preoperative biliary drainage for cancer of the head of the pancreas (POPULAIRE-T). NEJM 2010</w:t>
            </w:r>
          </w:p>
          <w:p>
            <w:pPr>
              <w:spacing w:before="30"/>
            </w:pPr>
            <w:r>
              <w:rPr>
                <w:rFonts w:ascii="Arial" w:cs="Arial" w:eastAsia="Arial" w:hAnsi="Arial"/>
                <w:i/>
                <w:iCs/>
                <w:color w:val="595959"/>
                <w:sz w:val="18"/>
                <w:szCs w:val="18"/>
              </w:rPr>
              <w:t xml:space="preserve">Bassi C et al. ISGPF classification of postoperative pancreatic fistula. Surgery 2005</w:t>
            </w:r>
          </w:p>
        </w:tc>
      </w:tr>
    </w:tbl>
    <w:sectPr>
      <w:headerReference w:type="default" r:id="rId6"/>
      <w:footerReference w:type="default" r:id="rId7"/>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6"/>
        <w:szCs w:val="16"/>
      </w:rPr>
      <w:t xml:space="preserve">ECU Department of Surgery  |  For examiner use only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8000"/>
      <w:gridCol w:w="2800"/>
    </w:tblGrid>
    <w:tr>
      <w:tc>
        <w:tcPr>
          <w:tcW w:type="dxa" w:w="8000"/>
          <w:tcBorders>
            <w:top w:val="none" w:color="FFFFFF" w:sz="0"/>
            <w:left w:val="none" w:color="FFFFFF" w:sz="0"/>
            <w:bottom w:val="none" w:color="FFFFFF" w:sz="0"/>
            <w:right w:val="none" w:color="FFFFFF" w:sz="0"/>
          </w:tcBorders>
        </w:tcPr>
        <w:p>
          <w:r>
            <w:rPr>
              <w:rFonts w:ascii="Arial" w:cs="Arial" w:eastAsia="Arial" w:hAnsi="Arial"/>
              <w:color w:val="595959"/>
              <w:sz w:val="16"/>
              <w:szCs w:val="16"/>
            </w:rPr>
            <w:t xml:space="preserve">ECU General Surgery — Mock Oral Board Examiner Guide</w:t>
          </w:r>
          <w:r>
            <w:rPr>
              <w:rFonts w:ascii="Arial" w:cs="Arial" w:eastAsia="Arial" w:hAnsi="Arial"/>
              <w:b/>
              <w:bCs/>
              <w:color w:val="1F3864"/>
              <w:sz w:val="16"/>
              <w:szCs w:val="16"/>
            </w:rPr>
            <w:t xml:space="preserve">  |  Pancreatic Adenocarcinoma / Whipple Procedure</w:t>
          </w:r>
        </w:p>
      </w:tc>
      <w:tc>
        <w:tcPr>
          <w:tcW w:type="dxa" w:w="2800"/>
          <w:tcBorders>
            <w:top w:val="none" w:color="FFFFFF" w:sz="0"/>
            <w:left w:val="none" w:color="FFFFFF" w:sz="0"/>
            <w:bottom w:val="none" w:color="FFFFFF" w:sz="0"/>
            <w:right w:val="none" w:color="FFFFFF" w:sz="0"/>
          </w:tcBorders>
        </w:tcPr>
        <w:p>
          <w:pPr>
            <w:jc w:val="right"/>
          </w:pPr>
          <w:r>
            <w:rPr>
              <w:rFonts w:ascii="Arial" w:cs="Arial" w:eastAsia="Arial" w:hAnsi="Arial"/>
              <w:color w:val="595959"/>
              <w:sz w:val="16"/>
              <w:szCs w:val="16"/>
            </w:rPr>
            <w:t xml:space="preserve">Core — GI/Oncology</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2026-03-21T23:27:42.491Z</dcterms:created>
  <dcterms:modified xsi:type="dcterms:W3CDTF">2026-03-21T23:27:42.491Z</dcterms:modified>
</cp:coreProperties>
</file>

<file path=docProps/custom.xml><?xml version="1.0" encoding="utf-8"?>
<Properties xmlns="http://schemas.openxmlformats.org/officeDocument/2006/custom-properties" xmlns:vt="http://schemas.openxmlformats.org/officeDocument/2006/docPropsVTypes"/>
</file>